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15" w:rsidRPr="00084E59" w:rsidRDefault="008A0118" w:rsidP="00DC15FF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tr-TR"/>
        </w:rPr>
      </w:pPr>
      <w:r w:rsidRPr="00084E59"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t>YÖNET</w:t>
      </w:r>
      <w:r w:rsidR="00DC15FF" w:rsidRPr="00084E59"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t>İCİ PERFORMANS DEĞERLENDİRME ANALİZ RAPORU (2022-2023)</w:t>
      </w:r>
    </w:p>
    <w:p w:rsidR="007E1C4B" w:rsidRPr="00084E59" w:rsidRDefault="007E1C4B" w:rsidP="00084E5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D8305D" w:rsidRDefault="00D8305D" w:rsidP="00084E5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Kalite ve akreditasyon süreçleri kapsamında Sağlık Bilimleri Fakültesi Yönetici Performans Değerlendirmesi 2022 yılında yapılmaya başlanmıştır. </w:t>
      </w:r>
      <w:r w:rsidR="00967953">
        <w:rPr>
          <w:rFonts w:ascii="Times New Roman" w:hAnsi="Times New Roman" w:cs="Times New Roman"/>
          <w:noProof/>
          <w:sz w:val="24"/>
          <w:szCs w:val="24"/>
          <w:lang w:eastAsia="tr-TR"/>
        </w:rPr>
        <w:t>G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elişmeye açık yönlerimizi fark etmek </w:t>
      </w:r>
      <w:r w:rsidR="0096795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ve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iyileştirmeye yönelik planlamalar</w:t>
      </w:r>
      <w:r w:rsidR="0096795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yapmak üzere değerlendirme sonuçlarının yıllara göre değişimi 2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023 yılından itibaren </w:t>
      </w:r>
      <w:r w:rsidR="0096795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raporlanmaktadır. Bu raporda,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2022 ve 2023 yılları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Yönetici Performans Değerlendirme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sonuçlarının analizi verilmiştir. </w:t>
      </w:r>
    </w:p>
    <w:p w:rsidR="00DC15FF" w:rsidRDefault="007E1C4B" w:rsidP="00084E5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2022 yılı 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Sağlık Bilimleri Fakültesi Yönetici Performans Değerlendirme 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>Anketine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42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>, 2023 yılı anketine ise 30 akademik ve idari personel katılmıştır.</w:t>
      </w:r>
      <w:r w:rsid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2022 ve 2023 yılı 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Yönetici Performans Değerlendirme 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Anketi 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>sonuçları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>na göre analiz raporu</w:t>
      </w:r>
      <w:r w:rsidR="00D8305D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aşağıda Şekil 1 ve Şekil 2</w:t>
      </w:r>
      <w:r w:rsidR="00967953">
        <w:rPr>
          <w:rFonts w:ascii="Times New Roman" w:hAnsi="Times New Roman" w:cs="Times New Roman"/>
          <w:noProof/>
          <w:sz w:val="24"/>
          <w:szCs w:val="24"/>
          <w:lang w:eastAsia="tr-TR"/>
        </w:rPr>
        <w:t>’</w:t>
      </w:r>
      <w:r w:rsidR="00D8305D">
        <w:rPr>
          <w:rFonts w:ascii="Times New Roman" w:hAnsi="Times New Roman" w:cs="Times New Roman"/>
          <w:noProof/>
          <w:sz w:val="24"/>
          <w:szCs w:val="24"/>
          <w:lang w:eastAsia="tr-TR"/>
        </w:rPr>
        <w:t>de</w:t>
      </w:r>
      <w:r w:rsidRPr="00084E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96795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gösterilmiş ve açıklanmıştır. </w:t>
      </w: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84E59" w:rsidRDefault="00084E59" w:rsidP="00084E59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  <w:sectPr w:rsidR="00084E59" w:rsidSect="00084E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0118" w:rsidRDefault="00DC15FF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40B4FB38" wp14:editId="7A167319">
            <wp:extent cx="8892540" cy="3859481"/>
            <wp:effectExtent l="0" t="0" r="3810" b="825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1C4B" w:rsidRPr="00084E59" w:rsidRDefault="007E1C4B" w:rsidP="00084E59">
      <w:pPr>
        <w:jc w:val="center"/>
        <w:rPr>
          <w:rFonts w:ascii="Times New Roman" w:hAnsi="Times New Roman" w:cs="Times New Roman"/>
          <w:b/>
          <w:noProof/>
          <w:sz w:val="24"/>
          <w:lang w:eastAsia="tr-TR"/>
        </w:rPr>
      </w:pPr>
      <w:r w:rsidRPr="00084E59">
        <w:rPr>
          <w:rFonts w:ascii="Times New Roman" w:hAnsi="Times New Roman" w:cs="Times New Roman"/>
          <w:b/>
          <w:noProof/>
          <w:sz w:val="24"/>
          <w:lang w:eastAsia="tr-TR"/>
        </w:rPr>
        <w:t>Şekil 1.</w:t>
      </w:r>
      <w:r w:rsidR="00084E59" w:rsidRPr="00084E59">
        <w:rPr>
          <w:rFonts w:ascii="Times New Roman" w:hAnsi="Times New Roman" w:cs="Times New Roman"/>
          <w:b/>
          <w:noProof/>
          <w:sz w:val="24"/>
          <w:lang w:eastAsia="tr-TR"/>
        </w:rPr>
        <w:t xml:space="preserve"> Dekanlık Yönetici</w:t>
      </w:r>
      <w:r w:rsidRPr="00084E59">
        <w:rPr>
          <w:rFonts w:ascii="Times New Roman" w:hAnsi="Times New Roman" w:cs="Times New Roman"/>
          <w:b/>
          <w:noProof/>
          <w:sz w:val="24"/>
          <w:lang w:eastAsia="tr-TR"/>
        </w:rPr>
        <w:t xml:space="preserve"> Performans Değerlendirme Sonuçları</w:t>
      </w:r>
    </w:p>
    <w:p w:rsidR="00084E59" w:rsidRPr="00D8305D" w:rsidRDefault="007E1C4B" w:rsidP="00D8305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lang w:eastAsia="tr-TR"/>
        </w:rPr>
      </w:pP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Dekanlık </w:t>
      </w:r>
      <w:r w:rsidR="00967953">
        <w:rPr>
          <w:rFonts w:ascii="Times New Roman" w:hAnsi="Times New Roman" w:cs="Times New Roman"/>
          <w:noProof/>
          <w:sz w:val="24"/>
          <w:lang w:eastAsia="tr-TR"/>
        </w:rPr>
        <w:t xml:space="preserve">yöneticilerimiz; 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Dekan, Dekan Yardımcıları ve Fakülte Sekreterimiz için </w:t>
      </w:r>
      <w:r w:rsidR="00DE6C5E" w:rsidRPr="00084E59">
        <w:rPr>
          <w:rFonts w:ascii="Times New Roman" w:hAnsi="Times New Roman" w:cs="Times New Roman"/>
          <w:noProof/>
          <w:sz w:val="24"/>
          <w:lang w:eastAsia="tr-TR"/>
        </w:rPr>
        <w:t xml:space="preserve">2022 ve 2023 yıllarına ilişkin 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>v</w:t>
      </w:r>
      <w:r w:rsidR="00DE6C5E" w:rsidRPr="00084E59">
        <w:rPr>
          <w:rFonts w:ascii="Times New Roman" w:hAnsi="Times New Roman" w:cs="Times New Roman"/>
          <w:noProof/>
          <w:sz w:val="24"/>
          <w:lang w:eastAsia="tr-TR"/>
        </w:rPr>
        <w:t xml:space="preserve">erilen anket yanıtlarına göre, 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>mesleki yetkinlikler, liderlik yetkinlikleri ve yönetsel yetkinlikler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 alt boyut puan ortalamaları analiz 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>sonuçları Şekil 1’de verilmiştir.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 Her bir alt boyut toplam puanı 5 puan üzerinden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 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>hesaplanmıştır. Ayrıca Dekan için 2022 yılı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 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memnuniyet yüzdesi %91,07, 2023 yılında ise %88,9; Dekan Yardımcısı 1 için 2022 yılı memnuniyet yüzdesi %88,12, 2023 yılında ise %84,60; Dekan Yardımcısı 2 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>için 2022 yılı memnuniyet yüzdesi %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94,23; 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Dekan Yardımcısı 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>3 için 2023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 yılı memnuniyet yüzdesi %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>85,26; Fakülte Sekreteri</w:t>
      </w:r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 xml:space="preserve"> için 2022 yılı memnuniyet yüzdesi </w:t>
      </w:r>
      <w:r w:rsidR="00967953">
        <w:rPr>
          <w:rFonts w:ascii="Times New Roman" w:hAnsi="Times New Roman" w:cs="Times New Roman"/>
          <w:noProof/>
          <w:sz w:val="24"/>
          <w:lang w:eastAsia="tr-TR"/>
        </w:rPr>
        <w:t>%81,45, 2023 yılında ise %87,06’</w:t>
      </w:r>
      <w:bookmarkStart w:id="0" w:name="_GoBack"/>
      <w:bookmarkEnd w:id="0"/>
      <w:r w:rsidR="00084E59" w:rsidRPr="00084E59">
        <w:rPr>
          <w:rFonts w:ascii="Times New Roman" w:hAnsi="Times New Roman" w:cs="Times New Roman"/>
          <w:noProof/>
          <w:sz w:val="24"/>
          <w:lang w:eastAsia="tr-TR"/>
        </w:rPr>
        <w:t>dır.</w:t>
      </w:r>
    </w:p>
    <w:p w:rsidR="00D8305D" w:rsidRPr="00084E59" w:rsidRDefault="008A0118" w:rsidP="00D8305D">
      <w:pPr>
        <w:spacing w:before="240" w:line="360" w:lineRule="auto"/>
        <w:jc w:val="center"/>
        <w:rPr>
          <w:rFonts w:ascii="Times New Roman" w:hAnsi="Times New Roman" w:cs="Times New Roman"/>
          <w:b/>
          <w:noProof/>
          <w:sz w:val="24"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3FB5A4E1" wp14:editId="36832E7F">
            <wp:extent cx="8945880" cy="3764478"/>
            <wp:effectExtent l="0" t="0" r="7620" b="762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8305D" w:rsidRPr="00D8305D">
        <w:rPr>
          <w:rFonts w:ascii="Times New Roman" w:hAnsi="Times New Roman" w:cs="Times New Roman"/>
          <w:b/>
          <w:noProof/>
          <w:sz w:val="24"/>
          <w:lang w:eastAsia="tr-TR"/>
        </w:rPr>
        <w:t xml:space="preserve"> </w:t>
      </w:r>
      <w:r w:rsidR="00D8305D" w:rsidRPr="00084E59">
        <w:rPr>
          <w:rFonts w:ascii="Times New Roman" w:hAnsi="Times New Roman" w:cs="Times New Roman"/>
          <w:b/>
          <w:noProof/>
          <w:sz w:val="24"/>
          <w:lang w:eastAsia="tr-TR"/>
        </w:rPr>
        <w:t xml:space="preserve">Şekil </w:t>
      </w:r>
      <w:r w:rsidR="00D8305D">
        <w:rPr>
          <w:rFonts w:ascii="Times New Roman" w:hAnsi="Times New Roman" w:cs="Times New Roman"/>
          <w:b/>
          <w:noProof/>
          <w:sz w:val="24"/>
          <w:lang w:eastAsia="tr-TR"/>
        </w:rPr>
        <w:t>2</w:t>
      </w:r>
      <w:r w:rsidR="00D8305D" w:rsidRPr="00084E59">
        <w:rPr>
          <w:rFonts w:ascii="Times New Roman" w:hAnsi="Times New Roman" w:cs="Times New Roman"/>
          <w:b/>
          <w:noProof/>
          <w:sz w:val="24"/>
          <w:lang w:eastAsia="tr-TR"/>
        </w:rPr>
        <w:t xml:space="preserve">. </w:t>
      </w:r>
      <w:r w:rsidR="00D8305D">
        <w:rPr>
          <w:rFonts w:ascii="Times New Roman" w:hAnsi="Times New Roman" w:cs="Times New Roman"/>
          <w:b/>
          <w:noProof/>
          <w:sz w:val="24"/>
          <w:lang w:eastAsia="tr-TR"/>
        </w:rPr>
        <w:t>Bölüm Başkanlıkları</w:t>
      </w:r>
      <w:r w:rsidR="00D8305D" w:rsidRPr="00084E59">
        <w:rPr>
          <w:rFonts w:ascii="Times New Roman" w:hAnsi="Times New Roman" w:cs="Times New Roman"/>
          <w:b/>
          <w:noProof/>
          <w:sz w:val="24"/>
          <w:lang w:eastAsia="tr-TR"/>
        </w:rPr>
        <w:t xml:space="preserve"> Yönetici Performans Değerlendirme Sonuçları</w:t>
      </w:r>
    </w:p>
    <w:p w:rsidR="00D8305D" w:rsidRPr="00D8305D" w:rsidRDefault="00D8305D" w:rsidP="00D8305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lang w:eastAsia="tr-TR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t>Bölüm Başkanlıklarımız olan Hemşirelik, Sosyal Hizmet ve Ebelik Bölüm Başkanlarımız için 2022 ve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 2023 yıllarına ilişkin verilen anket yanıtlarına göre, mesleki yetkinlikler, liderlik yetkinlikleri ve yönetsel yetkinlikler alt boyut puan ortalamaları analiz sonuçları Şekil </w:t>
      </w:r>
      <w:r>
        <w:rPr>
          <w:rFonts w:ascii="Times New Roman" w:hAnsi="Times New Roman" w:cs="Times New Roman"/>
          <w:noProof/>
          <w:sz w:val="24"/>
          <w:lang w:eastAsia="tr-TR"/>
        </w:rPr>
        <w:t>2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’de verilmiştir. Her bir alt boyut toplam puanı 5 puan üzerinden hesaplanmıştır. Ayrıca </w:t>
      </w:r>
      <w:r>
        <w:rPr>
          <w:rFonts w:ascii="Times New Roman" w:hAnsi="Times New Roman" w:cs="Times New Roman"/>
          <w:noProof/>
          <w:sz w:val="24"/>
          <w:lang w:eastAsia="tr-TR"/>
        </w:rPr>
        <w:t>Hemşirelik Bölüm Başkanı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 için 2022 yılı </w:t>
      </w:r>
      <w:r>
        <w:rPr>
          <w:rFonts w:ascii="Times New Roman" w:hAnsi="Times New Roman" w:cs="Times New Roman"/>
          <w:noProof/>
          <w:sz w:val="24"/>
          <w:lang w:eastAsia="tr-TR"/>
        </w:rPr>
        <w:t>memnuniyet yüzdesi %90,00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>, 2</w:t>
      </w:r>
      <w:r>
        <w:rPr>
          <w:rFonts w:ascii="Times New Roman" w:hAnsi="Times New Roman" w:cs="Times New Roman"/>
          <w:noProof/>
          <w:sz w:val="24"/>
          <w:lang w:eastAsia="tr-TR"/>
        </w:rPr>
        <w:t>023 yılında ise %85,6; Ebelik Bölüm Başkanı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 için 2022 yılı memnuniyet yüzdesi %</w:t>
      </w:r>
      <w:r>
        <w:rPr>
          <w:rFonts w:ascii="Times New Roman" w:hAnsi="Times New Roman" w:cs="Times New Roman"/>
          <w:noProof/>
          <w:sz w:val="24"/>
          <w:lang w:eastAsia="tr-TR"/>
        </w:rPr>
        <w:t>100, 2023 yılında ise %91,37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; </w:t>
      </w:r>
      <w:r>
        <w:rPr>
          <w:rFonts w:ascii="Times New Roman" w:hAnsi="Times New Roman" w:cs="Times New Roman"/>
          <w:noProof/>
          <w:sz w:val="24"/>
          <w:lang w:eastAsia="tr-TR"/>
        </w:rPr>
        <w:tab/>
        <w:t>Sosyal Hizmet Bölüm Başkanı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 xml:space="preserve"> için 2022 yılı memnuniyet yüzdesi %</w:t>
      </w:r>
      <w:r>
        <w:rPr>
          <w:rFonts w:ascii="Times New Roman" w:hAnsi="Times New Roman" w:cs="Times New Roman"/>
          <w:noProof/>
          <w:sz w:val="24"/>
          <w:lang w:eastAsia="tr-TR"/>
        </w:rPr>
        <w:t xml:space="preserve">97,33, </w:t>
      </w:r>
      <w:r w:rsidRPr="00084E59">
        <w:rPr>
          <w:rFonts w:ascii="Times New Roman" w:hAnsi="Times New Roman" w:cs="Times New Roman"/>
          <w:noProof/>
          <w:sz w:val="24"/>
          <w:lang w:eastAsia="tr-TR"/>
        </w:rPr>
        <w:t>2023 yılı memnuniyet yüzdesi %</w:t>
      </w:r>
      <w:r>
        <w:rPr>
          <w:rFonts w:ascii="Times New Roman" w:hAnsi="Times New Roman" w:cs="Times New Roman"/>
          <w:noProof/>
          <w:sz w:val="24"/>
          <w:lang w:eastAsia="tr-TR"/>
        </w:rPr>
        <w:t>95,52</w:t>
      </w:r>
      <w:r w:rsidR="00967953">
        <w:rPr>
          <w:rFonts w:ascii="Times New Roman" w:hAnsi="Times New Roman" w:cs="Times New Roman"/>
          <w:noProof/>
          <w:sz w:val="24"/>
          <w:lang w:eastAsia="tr-TR"/>
        </w:rPr>
        <w:t>’</w:t>
      </w:r>
      <w:r>
        <w:rPr>
          <w:rFonts w:ascii="Times New Roman" w:hAnsi="Times New Roman" w:cs="Times New Roman"/>
          <w:noProof/>
          <w:sz w:val="24"/>
          <w:lang w:eastAsia="tr-TR"/>
        </w:rPr>
        <w:t>dir.</w:t>
      </w:r>
    </w:p>
    <w:p w:rsidR="00D8305D" w:rsidRDefault="00D8305D"/>
    <w:sectPr w:rsidR="00D8305D" w:rsidSect="001817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5"/>
    <w:rsid w:val="00084E59"/>
    <w:rsid w:val="001817C5"/>
    <w:rsid w:val="003457B6"/>
    <w:rsid w:val="007E1C4B"/>
    <w:rsid w:val="0083774A"/>
    <w:rsid w:val="008A0118"/>
    <w:rsid w:val="00940A15"/>
    <w:rsid w:val="00967953"/>
    <w:rsid w:val="00D8305D"/>
    <w:rsid w:val="00DC15FF"/>
    <w:rsid w:val="00DC2BAF"/>
    <w:rsid w:val="00D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15DF"/>
  <w15:chartTrackingRefBased/>
  <w15:docId w15:val="{01212AA0-D1D6-4BC8-B11B-CBCADD80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483596874449604E-2"/>
          <c:y val="0.12218957183072682"/>
          <c:w val="0.92548434003032765"/>
          <c:h val="0.47290036332301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Sayfa1!$C$11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Sayfa1!$A$12:$B$26</c:f>
              <c:multiLvlStrCache>
                <c:ptCount val="15"/>
                <c:lvl>
                  <c:pt idx="0">
                    <c:v>Mesleki Yetkinlikler</c:v>
                  </c:pt>
                  <c:pt idx="1">
                    <c:v>Liderlik Yetkinlikler </c:v>
                  </c:pt>
                  <c:pt idx="2">
                    <c:v>Yönetsel Yetkinlikler</c:v>
                  </c:pt>
                  <c:pt idx="3">
                    <c:v>Mesleki Yetkinlikler</c:v>
                  </c:pt>
                  <c:pt idx="4">
                    <c:v>Liderlik Yetkinlikler </c:v>
                  </c:pt>
                  <c:pt idx="5">
                    <c:v>Yönetsel Yetkinlikler</c:v>
                  </c:pt>
                  <c:pt idx="6">
                    <c:v>Mesleki Yetkinlikler</c:v>
                  </c:pt>
                  <c:pt idx="7">
                    <c:v>Liderlik Yetkinlikler </c:v>
                  </c:pt>
                  <c:pt idx="8">
                    <c:v>Yönetsel Yetkinlikler</c:v>
                  </c:pt>
                  <c:pt idx="9">
                    <c:v>Mesleki Yetkinlikler</c:v>
                  </c:pt>
                  <c:pt idx="10">
                    <c:v>Liderlik Yetkinlikler </c:v>
                  </c:pt>
                  <c:pt idx="11">
                    <c:v>Yönetsel Yetkinlikler</c:v>
                  </c:pt>
                  <c:pt idx="12">
                    <c:v>Mesleki Yetkinlikler</c:v>
                  </c:pt>
                  <c:pt idx="13">
                    <c:v>Liderlik Yetkinlikler </c:v>
                  </c:pt>
                  <c:pt idx="14">
                    <c:v>Yönetsel Yetkinlikler</c:v>
                  </c:pt>
                </c:lvl>
                <c:lvl>
                  <c:pt idx="0">
                    <c:v>DEKAN </c:v>
                  </c:pt>
                  <c:pt idx="3">
                    <c:v>DEKAN YARDIMCISI 1</c:v>
                  </c:pt>
                  <c:pt idx="6">
                    <c:v>DEKAN YARDIMCISI 2</c:v>
                  </c:pt>
                  <c:pt idx="9">
                    <c:v>DEKAN YARDIMCISI 3</c:v>
                  </c:pt>
                  <c:pt idx="12">
                    <c:v>FAKÜLTE SEKRETERİ</c:v>
                  </c:pt>
                </c:lvl>
              </c:multiLvlStrCache>
            </c:multiLvlStrRef>
          </c:cat>
          <c:val>
            <c:numRef>
              <c:f>Sayfa1!$C$12:$C$26</c:f>
              <c:numCache>
                <c:formatCode>General</c:formatCode>
                <c:ptCount val="15"/>
                <c:pt idx="0">
                  <c:v>4.6500000000000004</c:v>
                </c:pt>
                <c:pt idx="1">
                  <c:v>4.74</c:v>
                </c:pt>
                <c:pt idx="2">
                  <c:v>4.6100000000000003</c:v>
                </c:pt>
                <c:pt idx="3">
                  <c:v>4.41</c:v>
                </c:pt>
                <c:pt idx="4">
                  <c:v>4.3600000000000003</c:v>
                </c:pt>
                <c:pt idx="5">
                  <c:v>4.3099999999999996</c:v>
                </c:pt>
                <c:pt idx="6">
                  <c:v>4.5999999999999996</c:v>
                </c:pt>
                <c:pt idx="7">
                  <c:v>4.55</c:v>
                </c:pt>
                <c:pt idx="8">
                  <c:v>4.5</c:v>
                </c:pt>
                <c:pt idx="12">
                  <c:v>4.3499999999999996</c:v>
                </c:pt>
                <c:pt idx="13">
                  <c:v>4.3</c:v>
                </c:pt>
                <c:pt idx="14">
                  <c:v>4.3099999999999996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15-4502-90AE-EB0ED30E70D8}"/>
            </c:ext>
          </c:extLst>
        </c:ser>
        <c:ser>
          <c:idx val="1"/>
          <c:order val="1"/>
          <c:tx>
            <c:strRef>
              <c:f>Sayfa1!$D$11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Sayfa1!$A$12:$B$26</c:f>
              <c:multiLvlStrCache>
                <c:ptCount val="15"/>
                <c:lvl>
                  <c:pt idx="0">
                    <c:v>Mesleki Yetkinlikler</c:v>
                  </c:pt>
                  <c:pt idx="1">
                    <c:v>Liderlik Yetkinlikler </c:v>
                  </c:pt>
                  <c:pt idx="2">
                    <c:v>Yönetsel Yetkinlikler</c:v>
                  </c:pt>
                  <c:pt idx="3">
                    <c:v>Mesleki Yetkinlikler</c:v>
                  </c:pt>
                  <c:pt idx="4">
                    <c:v>Liderlik Yetkinlikler </c:v>
                  </c:pt>
                  <c:pt idx="5">
                    <c:v>Yönetsel Yetkinlikler</c:v>
                  </c:pt>
                  <c:pt idx="6">
                    <c:v>Mesleki Yetkinlikler</c:v>
                  </c:pt>
                  <c:pt idx="7">
                    <c:v>Liderlik Yetkinlikler </c:v>
                  </c:pt>
                  <c:pt idx="8">
                    <c:v>Yönetsel Yetkinlikler</c:v>
                  </c:pt>
                  <c:pt idx="9">
                    <c:v>Mesleki Yetkinlikler</c:v>
                  </c:pt>
                  <c:pt idx="10">
                    <c:v>Liderlik Yetkinlikler </c:v>
                  </c:pt>
                  <c:pt idx="11">
                    <c:v>Yönetsel Yetkinlikler</c:v>
                  </c:pt>
                  <c:pt idx="12">
                    <c:v>Mesleki Yetkinlikler</c:v>
                  </c:pt>
                  <c:pt idx="13">
                    <c:v>Liderlik Yetkinlikler </c:v>
                  </c:pt>
                  <c:pt idx="14">
                    <c:v>Yönetsel Yetkinlikler</c:v>
                  </c:pt>
                </c:lvl>
                <c:lvl>
                  <c:pt idx="0">
                    <c:v>DEKAN </c:v>
                  </c:pt>
                  <c:pt idx="3">
                    <c:v>DEKAN YARDIMCISI 1</c:v>
                  </c:pt>
                  <c:pt idx="6">
                    <c:v>DEKAN YARDIMCISI 2</c:v>
                  </c:pt>
                  <c:pt idx="9">
                    <c:v>DEKAN YARDIMCISI 3</c:v>
                  </c:pt>
                  <c:pt idx="12">
                    <c:v>FAKÜLTE SEKRETERİ</c:v>
                  </c:pt>
                </c:lvl>
              </c:multiLvlStrCache>
            </c:multiLvlStrRef>
          </c:cat>
          <c:val>
            <c:numRef>
              <c:f>Sayfa1!$D$12:$D$26</c:f>
              <c:numCache>
                <c:formatCode>General</c:formatCode>
                <c:ptCount val="15"/>
                <c:pt idx="0">
                  <c:v>4.37</c:v>
                </c:pt>
                <c:pt idx="1">
                  <c:v>4.43</c:v>
                </c:pt>
                <c:pt idx="2">
                  <c:v>4.3499999999999996</c:v>
                </c:pt>
                <c:pt idx="3">
                  <c:v>4.03</c:v>
                </c:pt>
                <c:pt idx="4">
                  <c:v>3.99</c:v>
                </c:pt>
                <c:pt idx="5">
                  <c:v>3.94</c:v>
                </c:pt>
                <c:pt idx="9">
                  <c:v>4.2</c:v>
                </c:pt>
                <c:pt idx="10">
                  <c:v>4.07</c:v>
                </c:pt>
                <c:pt idx="11">
                  <c:v>4.0199999999999996</c:v>
                </c:pt>
                <c:pt idx="12">
                  <c:v>4.21</c:v>
                </c:pt>
                <c:pt idx="13">
                  <c:v>4.17</c:v>
                </c:pt>
                <c:pt idx="14">
                  <c:v>4.0599999999999996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15-4502-90AE-EB0ED30E7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42719695"/>
        <c:axId val="842720111"/>
      </c:barChart>
      <c:catAx>
        <c:axId val="842719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2720111"/>
        <c:crosses val="autoZero"/>
        <c:auto val="1"/>
        <c:lblAlgn val="ctr"/>
        <c:lblOffset val="100"/>
        <c:noMultiLvlLbl val="0"/>
      </c:catAx>
      <c:valAx>
        <c:axId val="842720111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2719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346609630094445"/>
          <c:y val="3.8651997527789694E-2"/>
          <c:w val="0.1798357754380539"/>
          <c:h val="5.89378565625651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64179615289131E-2"/>
          <c:y val="0.17946442082413652"/>
          <c:w val="0.93373544653072216"/>
          <c:h val="0.54043659654483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Sayfa1!$A$3:$B$11</c:f>
              <c:multiLvlStrCache>
                <c:ptCount val="9"/>
                <c:lvl>
                  <c:pt idx="0">
                    <c:v>Mesleki Yetkinlikler</c:v>
                  </c:pt>
                  <c:pt idx="1">
                    <c:v>Liderlik Yetkinlikler</c:v>
                  </c:pt>
                  <c:pt idx="2">
                    <c:v>Yönetsel Yetkinlikler</c:v>
                  </c:pt>
                  <c:pt idx="3">
                    <c:v>Mesleki Yetkinlikler</c:v>
                  </c:pt>
                  <c:pt idx="4">
                    <c:v>Liderlik Yetkinlikler</c:v>
                  </c:pt>
                  <c:pt idx="5">
                    <c:v>Yönetsel Yetkinlikler</c:v>
                  </c:pt>
                  <c:pt idx="6">
                    <c:v>Mesleki Yetkinlikler</c:v>
                  </c:pt>
                  <c:pt idx="7">
                    <c:v>Liderlik Yetkinlikler</c:v>
                  </c:pt>
                  <c:pt idx="8">
                    <c:v>Yönetsel Yetkinlikler</c:v>
                  </c:pt>
                </c:lvl>
                <c:lvl>
                  <c:pt idx="0">
                    <c:v>HEMŞİRELİK BÖLÜM BAŞKANI</c:v>
                  </c:pt>
                  <c:pt idx="3">
                    <c:v>EBELİK BÖLÜM BAŞKANI</c:v>
                  </c:pt>
                  <c:pt idx="6">
                    <c:v>SOSYAL HİZMET BÖLÜM BAŞKANI</c:v>
                  </c:pt>
                </c:lvl>
              </c:multiLvlStrCache>
            </c:multiLvlStrRef>
          </c:cat>
          <c:val>
            <c:numRef>
              <c:f>Sayfa1!$C$3:$C$11</c:f>
              <c:numCache>
                <c:formatCode>General</c:formatCode>
                <c:ptCount val="9"/>
                <c:pt idx="0">
                  <c:v>4.47</c:v>
                </c:pt>
                <c:pt idx="1">
                  <c:v>4.4800000000000004</c:v>
                </c:pt>
                <c:pt idx="2">
                  <c:v>4.2699999999999996</c:v>
                </c:pt>
                <c:pt idx="3">
                  <c:v>5</c:v>
                </c:pt>
                <c:pt idx="4">
                  <c:v>4.9000000000000004</c:v>
                </c:pt>
                <c:pt idx="5">
                  <c:v>4.93</c:v>
                </c:pt>
                <c:pt idx="6">
                  <c:v>4.83</c:v>
                </c:pt>
                <c:pt idx="7">
                  <c:v>4.78</c:v>
                </c:pt>
                <c:pt idx="8">
                  <c:v>4.83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B0-4E77-ACD0-64240E3EB9B6}"/>
            </c:ext>
          </c:extLst>
        </c:ser>
        <c:ser>
          <c:idx val="1"/>
          <c:order val="1"/>
          <c:tx>
            <c:strRef>
              <c:f>Sayfa1!$D$2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Sayfa1!$A$3:$B$11</c:f>
              <c:multiLvlStrCache>
                <c:ptCount val="9"/>
                <c:lvl>
                  <c:pt idx="0">
                    <c:v>Mesleki Yetkinlikler</c:v>
                  </c:pt>
                  <c:pt idx="1">
                    <c:v>Liderlik Yetkinlikler</c:v>
                  </c:pt>
                  <c:pt idx="2">
                    <c:v>Yönetsel Yetkinlikler</c:v>
                  </c:pt>
                  <c:pt idx="3">
                    <c:v>Mesleki Yetkinlikler</c:v>
                  </c:pt>
                  <c:pt idx="4">
                    <c:v>Liderlik Yetkinlikler</c:v>
                  </c:pt>
                  <c:pt idx="5">
                    <c:v>Yönetsel Yetkinlikler</c:v>
                  </c:pt>
                  <c:pt idx="6">
                    <c:v>Mesleki Yetkinlikler</c:v>
                  </c:pt>
                  <c:pt idx="7">
                    <c:v>Liderlik Yetkinlikler</c:v>
                  </c:pt>
                  <c:pt idx="8">
                    <c:v>Yönetsel Yetkinlikler</c:v>
                  </c:pt>
                </c:lvl>
                <c:lvl>
                  <c:pt idx="0">
                    <c:v>HEMŞİRELİK BÖLÜM BAŞKANI</c:v>
                  </c:pt>
                  <c:pt idx="3">
                    <c:v>EBELİK BÖLÜM BAŞKANI</c:v>
                  </c:pt>
                  <c:pt idx="6">
                    <c:v>SOSYAL HİZMET BÖLÜM BAŞKANI</c:v>
                  </c:pt>
                </c:lvl>
              </c:multiLvlStrCache>
            </c:multiLvlStrRef>
          </c:cat>
          <c:val>
            <c:numRef>
              <c:f>Sayfa1!$D$3:$D$11</c:f>
              <c:numCache>
                <c:formatCode>General</c:formatCode>
                <c:ptCount val="9"/>
                <c:pt idx="0">
                  <c:v>4.07</c:v>
                </c:pt>
                <c:pt idx="1">
                  <c:v>4.04</c:v>
                </c:pt>
                <c:pt idx="2">
                  <c:v>3.99</c:v>
                </c:pt>
                <c:pt idx="3">
                  <c:v>4.34</c:v>
                </c:pt>
                <c:pt idx="4">
                  <c:v>4.4000000000000004</c:v>
                </c:pt>
                <c:pt idx="5">
                  <c:v>4.33</c:v>
                </c:pt>
                <c:pt idx="6">
                  <c:v>4.55</c:v>
                </c:pt>
                <c:pt idx="7">
                  <c:v>4.53</c:v>
                </c:pt>
                <c:pt idx="8">
                  <c:v>4.49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B0-4E77-ACD0-64240E3EB9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49150447"/>
        <c:axId val="1845159295"/>
      </c:barChart>
      <c:catAx>
        <c:axId val="1849150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45159295"/>
        <c:crosses val="autoZero"/>
        <c:auto val="1"/>
        <c:lblAlgn val="ctr"/>
        <c:lblOffset val="100"/>
        <c:noMultiLvlLbl val="0"/>
      </c:catAx>
      <c:valAx>
        <c:axId val="1845159295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49150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547125604188742"/>
          <c:y val="4.4678905913384609E-2"/>
          <c:w val="0.14881750892249579"/>
          <c:h val="9.6539577289680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BAE9-A7D1-43AE-BDCD-095CC5EA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BARU</cp:lastModifiedBy>
  <cp:revision>4</cp:revision>
  <dcterms:created xsi:type="dcterms:W3CDTF">2024-11-19T06:28:00Z</dcterms:created>
  <dcterms:modified xsi:type="dcterms:W3CDTF">2024-11-19T06:49:00Z</dcterms:modified>
</cp:coreProperties>
</file>