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49" w:rsidRDefault="00CC2349">
      <w:pPr>
        <w:pStyle w:val="GvdeMetni"/>
        <w:rPr>
          <w:rFonts w:ascii="Cambria"/>
          <w:sz w:val="20"/>
        </w:rPr>
      </w:pPr>
    </w:p>
    <w:p w:rsidR="00CC2349" w:rsidRDefault="00CC2349">
      <w:pPr>
        <w:pStyle w:val="GvdeMetni"/>
        <w:rPr>
          <w:rFonts w:ascii="Cambria"/>
          <w:sz w:val="20"/>
        </w:rPr>
      </w:pPr>
    </w:p>
    <w:p w:rsidR="00CC2349" w:rsidRDefault="007E21E7" w:rsidP="007E21E7">
      <w:pPr>
        <w:spacing w:before="74" w:line="264" w:lineRule="auto"/>
        <w:ind w:right="1174"/>
        <w:jc w:val="right"/>
        <w:rPr>
          <w:b/>
          <w:sz w:val="25"/>
        </w:rPr>
      </w:pPr>
      <w:r>
        <w:rPr>
          <w:b/>
          <w:w w:val="95"/>
          <w:sz w:val="25"/>
        </w:rPr>
        <w:t xml:space="preserve">“1.ULUSLARARASI AVRASYA EDEBİYAT ÇALIŞMALARI KONGRESİ </w:t>
      </w:r>
      <w:r>
        <w:rPr>
          <w:b/>
          <w:sz w:val="25"/>
        </w:rPr>
        <w:t>(IELSC)”</w:t>
      </w:r>
    </w:p>
    <w:p w:rsidR="00CC2349" w:rsidRDefault="007E21E7">
      <w:pPr>
        <w:spacing w:before="6"/>
        <w:ind w:left="1660" w:right="1166"/>
        <w:jc w:val="center"/>
        <w:rPr>
          <w:b/>
          <w:i/>
          <w:sz w:val="25"/>
        </w:rPr>
      </w:pPr>
      <w:r>
        <w:rPr>
          <w:b/>
          <w:i/>
          <w:sz w:val="25"/>
        </w:rPr>
        <w:t>“Hayat ve Sanat”</w:t>
      </w:r>
    </w:p>
    <w:p w:rsidR="00CC2349" w:rsidRDefault="00CC2349">
      <w:pPr>
        <w:pStyle w:val="GvdeMetni"/>
        <w:rPr>
          <w:b/>
          <w:i/>
          <w:sz w:val="28"/>
        </w:rPr>
      </w:pPr>
    </w:p>
    <w:p w:rsidR="00CC2349" w:rsidRDefault="00CC2349">
      <w:pPr>
        <w:pStyle w:val="GvdeMetni"/>
        <w:spacing w:before="11"/>
        <w:rPr>
          <w:b/>
          <w:i/>
          <w:sz w:val="28"/>
        </w:rPr>
      </w:pPr>
    </w:p>
    <w:p w:rsidR="00CC2349" w:rsidRDefault="007E21E7">
      <w:pPr>
        <w:pStyle w:val="GvdeMetni"/>
        <w:ind w:left="4477"/>
        <w:jc w:val="both"/>
      </w:pPr>
      <w:r>
        <w:t>Değerli Araştırmacılar,</w:t>
      </w:r>
    </w:p>
    <w:p w:rsidR="00CC2349" w:rsidRDefault="007E21E7">
      <w:pPr>
        <w:pStyle w:val="GvdeMetni"/>
        <w:spacing w:before="30" w:line="264" w:lineRule="auto"/>
        <w:ind w:left="1232" w:right="727" w:firstLine="284"/>
        <w:jc w:val="both"/>
      </w:pPr>
      <w:r>
        <w:t xml:space="preserve">Son birkaç yüzyılda, özellikle </w:t>
      </w:r>
      <w:proofErr w:type="spellStart"/>
      <w:r>
        <w:t>nıoderniteyle</w:t>
      </w:r>
      <w:proofErr w:type="spellEnd"/>
      <w:r>
        <w:t xml:space="preserve"> beraber, bir farkındalık olarak, bir kültür işi olarak edebiyatın normatif hatta gündelik hayatta önemli ölçüde yer tuttuğu görülmektedir. Bu genel kabule uygun olarak, onun insan hayatındaki yeri de </w:t>
      </w:r>
      <w:proofErr w:type="spellStart"/>
      <w:r>
        <w:t>heT</w:t>
      </w:r>
      <w:proofErr w:type="spellEnd"/>
      <w:r>
        <w:t xml:space="preserve"> zaman i</w:t>
      </w:r>
      <w:r>
        <w:t>çin sorgulana gelmiştir. Edebiyat bilimi böylelikle dilbilim, tarih, psikoloji, iletişim bilimleri, felsefe gibi disiplinlerle verimli bir etkileşime girer. Bu</w:t>
      </w:r>
      <w:r>
        <w:rPr>
          <w:spacing w:val="-45"/>
        </w:rPr>
        <w:t xml:space="preserve"> </w:t>
      </w:r>
      <w:r>
        <w:t>etkileşim ona yepyeni</w:t>
      </w:r>
      <w:r>
        <w:rPr>
          <w:spacing w:val="-10"/>
        </w:rPr>
        <w:t xml:space="preserve"> </w:t>
      </w:r>
      <w:r>
        <w:t>melez</w:t>
      </w:r>
      <w:r>
        <w:rPr>
          <w:spacing w:val="-13"/>
        </w:rPr>
        <w:t xml:space="preserve"> </w:t>
      </w:r>
      <w:r>
        <w:t>disiplinler,</w:t>
      </w:r>
      <w:r>
        <w:rPr>
          <w:spacing w:val="-5"/>
        </w:rPr>
        <w:t xml:space="preserve"> </w:t>
      </w:r>
      <w:r>
        <w:t>çalışma</w:t>
      </w:r>
      <w:r>
        <w:rPr>
          <w:spacing w:val="-10"/>
        </w:rPr>
        <w:t xml:space="preserve"> </w:t>
      </w:r>
      <w:r>
        <w:t>alanları,</w:t>
      </w:r>
      <w:r>
        <w:rPr>
          <w:spacing w:val="-5"/>
        </w:rPr>
        <w:t xml:space="preserve"> </w:t>
      </w:r>
      <w:r>
        <w:t>kuramlar</w:t>
      </w:r>
      <w:r>
        <w:rPr>
          <w:spacing w:val="-9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metotlar</w:t>
      </w:r>
      <w:r>
        <w:rPr>
          <w:spacing w:val="-11"/>
        </w:rPr>
        <w:t xml:space="preserve"> </w:t>
      </w:r>
      <w:r>
        <w:t>kazandırır.</w:t>
      </w:r>
      <w:r>
        <w:rPr>
          <w:spacing w:val="-10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n</w:t>
      </w:r>
      <w:r>
        <w:t>edenle edebiyat</w:t>
      </w:r>
      <w:r>
        <w:rPr>
          <w:spacing w:val="-10"/>
        </w:rPr>
        <w:t xml:space="preserve"> </w:t>
      </w:r>
      <w:r>
        <w:t>biliminin</w:t>
      </w:r>
      <w:r>
        <w:rPr>
          <w:spacing w:val="-14"/>
        </w:rPr>
        <w:t xml:space="preserve"> </w:t>
      </w:r>
      <w:r>
        <w:t>diğer</w:t>
      </w:r>
      <w:r>
        <w:rPr>
          <w:spacing w:val="-20"/>
        </w:rPr>
        <w:t xml:space="preserve"> </w:t>
      </w:r>
      <w:r>
        <w:t>sosyal</w:t>
      </w:r>
      <w:r>
        <w:rPr>
          <w:spacing w:val="-14"/>
        </w:rPr>
        <w:t xml:space="preserve"> </w:t>
      </w:r>
      <w:r>
        <w:t>disiplinlerle</w:t>
      </w:r>
      <w:r>
        <w:rPr>
          <w:spacing w:val="-12"/>
        </w:rPr>
        <w:t xml:space="preserve"> </w:t>
      </w:r>
      <w:r>
        <w:t>ilişkisinden</w:t>
      </w:r>
      <w:r>
        <w:rPr>
          <w:spacing w:val="-13"/>
        </w:rPr>
        <w:t xml:space="preserve"> </w:t>
      </w:r>
      <w:r>
        <w:t>doğan</w:t>
      </w:r>
      <w:r>
        <w:rPr>
          <w:spacing w:val="-15"/>
        </w:rPr>
        <w:t xml:space="preserve"> </w:t>
      </w:r>
      <w:r>
        <w:t>imkânları</w:t>
      </w:r>
      <w:r>
        <w:rPr>
          <w:spacing w:val="-10"/>
        </w:rPr>
        <w:t xml:space="preserve"> </w:t>
      </w:r>
      <w:r>
        <w:t>ortaya</w:t>
      </w:r>
      <w:r>
        <w:rPr>
          <w:spacing w:val="-13"/>
        </w:rPr>
        <w:t xml:space="preserve"> </w:t>
      </w:r>
      <w:r>
        <w:t>koymak gerekir.</w:t>
      </w:r>
      <w:r>
        <w:rPr>
          <w:spacing w:val="-31"/>
        </w:rPr>
        <w:t xml:space="preserve"> </w:t>
      </w:r>
      <w:r>
        <w:t>Bu</w:t>
      </w:r>
      <w:r>
        <w:rPr>
          <w:spacing w:val="-26"/>
        </w:rPr>
        <w:t xml:space="preserve"> </w:t>
      </w:r>
      <w:r>
        <w:t>bağlamda,</w:t>
      </w:r>
      <w:r>
        <w:rPr>
          <w:spacing w:val="-25"/>
        </w:rPr>
        <w:t xml:space="preserve"> </w:t>
      </w:r>
      <w:r>
        <w:t>tüm</w:t>
      </w:r>
      <w:r>
        <w:rPr>
          <w:spacing w:val="-30"/>
        </w:rPr>
        <w:t xml:space="preserve"> </w:t>
      </w:r>
      <w:r>
        <w:t>bu</w:t>
      </w:r>
      <w:r>
        <w:rPr>
          <w:spacing w:val="-30"/>
        </w:rPr>
        <w:t xml:space="preserve"> </w:t>
      </w:r>
      <w:r>
        <w:t>konu</w:t>
      </w:r>
      <w:r>
        <w:rPr>
          <w:spacing w:val="-31"/>
        </w:rPr>
        <w:t xml:space="preserve"> </w:t>
      </w:r>
      <w:r>
        <w:t>alanlarını</w:t>
      </w:r>
      <w:r>
        <w:rPr>
          <w:spacing w:val="-21"/>
        </w:rPr>
        <w:t xml:space="preserve"> </w:t>
      </w:r>
      <w:r>
        <w:t>konuşmak</w:t>
      </w:r>
      <w:r>
        <w:rPr>
          <w:spacing w:val="-22"/>
        </w:rPr>
        <w:t xml:space="preserve"> </w:t>
      </w:r>
      <w:r>
        <w:t>ve</w:t>
      </w:r>
      <w:r>
        <w:rPr>
          <w:spacing w:val="-36"/>
        </w:rPr>
        <w:t xml:space="preserve"> </w:t>
      </w:r>
      <w:r>
        <w:t>tartışmak</w:t>
      </w:r>
      <w:r>
        <w:rPr>
          <w:spacing w:val="-27"/>
        </w:rPr>
        <w:t xml:space="preserve"> </w:t>
      </w:r>
      <w:r>
        <w:t>adına</w:t>
      </w:r>
      <w:r>
        <w:rPr>
          <w:spacing w:val="-34"/>
        </w:rPr>
        <w:t xml:space="preserve"> </w:t>
      </w:r>
      <w:r>
        <w:t>17-18</w:t>
      </w:r>
      <w:r>
        <w:rPr>
          <w:spacing w:val="-31"/>
        </w:rPr>
        <w:t xml:space="preserve"> </w:t>
      </w:r>
      <w:r>
        <w:t xml:space="preserve">Haziran 2021 tarihleri arasında </w:t>
      </w:r>
      <w:r>
        <w:rPr>
          <w:b/>
        </w:rPr>
        <w:t xml:space="preserve">“1.Uluslararası </w:t>
      </w:r>
      <w:r>
        <w:t xml:space="preserve">Avrasya </w:t>
      </w:r>
      <w:r>
        <w:rPr>
          <w:b/>
        </w:rPr>
        <w:t>Edebiyat Çalışmaları Kongresi (IELSC)”</w:t>
      </w:r>
      <w:r>
        <w:rPr>
          <w:b/>
          <w:spacing w:val="-27"/>
        </w:rPr>
        <w:t xml:space="preserve"> </w:t>
      </w:r>
      <w:r>
        <w:t>gerçekleştirilecektir.</w:t>
      </w:r>
      <w:r>
        <w:rPr>
          <w:spacing w:val="-37"/>
        </w:rPr>
        <w:t xml:space="preserve"> </w:t>
      </w:r>
      <w:r>
        <w:t>Online</w:t>
      </w:r>
      <w:r>
        <w:rPr>
          <w:spacing w:val="-29"/>
        </w:rPr>
        <w:t xml:space="preserve"> </w:t>
      </w:r>
      <w:r>
        <w:t>olarak</w:t>
      </w:r>
      <w:r>
        <w:rPr>
          <w:spacing w:val="-27"/>
        </w:rPr>
        <w:t xml:space="preserve"> </w:t>
      </w:r>
      <w:r>
        <w:t>yapılacak</w:t>
      </w:r>
      <w:r>
        <w:rPr>
          <w:spacing w:val="-25"/>
        </w:rPr>
        <w:t xml:space="preserve"> </w:t>
      </w:r>
      <w:r>
        <w:t>olan</w:t>
      </w:r>
      <w:r>
        <w:rPr>
          <w:spacing w:val="-33"/>
        </w:rPr>
        <w:t xml:space="preserve"> </w:t>
      </w:r>
      <w:r>
        <w:t>konferanstaki</w:t>
      </w:r>
      <w:r>
        <w:rPr>
          <w:spacing w:val="-24"/>
        </w:rPr>
        <w:t xml:space="preserve"> </w:t>
      </w:r>
      <w:r>
        <w:t>tüm</w:t>
      </w:r>
      <w:r>
        <w:rPr>
          <w:spacing w:val="-30"/>
        </w:rPr>
        <w:t xml:space="preserve"> </w:t>
      </w:r>
      <w:r>
        <w:t xml:space="preserve">konuşma ve sunumlar </w:t>
      </w:r>
      <w:proofErr w:type="spellStart"/>
      <w:r>
        <w:t>YouTube</w:t>
      </w:r>
      <w:proofErr w:type="spellEnd"/>
      <w:r>
        <w:t>’ dan da yayınlanacaktır. Konferansımızda edebiyat ile ilişkilendirilebilen</w:t>
      </w:r>
      <w:r>
        <w:rPr>
          <w:spacing w:val="-6"/>
        </w:rPr>
        <w:t xml:space="preserve"> </w:t>
      </w:r>
      <w:r>
        <w:t>bütün</w:t>
      </w:r>
      <w:r>
        <w:rPr>
          <w:spacing w:val="-10"/>
        </w:rPr>
        <w:t xml:space="preserve"> </w:t>
      </w:r>
      <w:r>
        <w:t>alanlara</w:t>
      </w:r>
      <w:r>
        <w:rPr>
          <w:spacing w:val="-9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çok</w:t>
      </w:r>
      <w:r>
        <w:rPr>
          <w:spacing w:val="-11"/>
        </w:rPr>
        <w:t xml:space="preserve"> </w:t>
      </w:r>
      <w:r>
        <w:t>disiplinli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proofErr w:type="spellStart"/>
      <w:r>
        <w:t>disiplinlerarası</w:t>
      </w:r>
      <w:proofErr w:type="spellEnd"/>
      <w:r>
        <w:rPr>
          <w:spacing w:val="-14"/>
        </w:rPr>
        <w:t xml:space="preserve"> </w:t>
      </w:r>
      <w:r>
        <w:t xml:space="preserve">çalışmaları </w:t>
      </w:r>
      <w:r>
        <w:rPr>
          <w:w w:val="95"/>
        </w:rPr>
        <w:t xml:space="preserve">yer verilecektir. Konferansın “teması” ile ilgilenen bütün akademisyenleri, araştırmacıları, </w:t>
      </w:r>
      <w:r>
        <w:t>sağlıkçıları, sivil toplum kuruluşlarını ve öğrencileri bu bilgi şölenine katılmaya davet ediyoruz. Konferansın dili, İngilizce ve Tür</w:t>
      </w:r>
      <w:r>
        <w:t xml:space="preserve">kçedir. Bildiriler yayınlanan </w:t>
      </w:r>
      <w:proofErr w:type="gramStart"/>
      <w:r>
        <w:t>kriter</w:t>
      </w:r>
      <w:proofErr w:type="gramEnd"/>
      <w:r>
        <w:t xml:space="preserve"> ve standartlar</w:t>
      </w:r>
      <w:r>
        <w:rPr>
          <w:spacing w:val="-16"/>
        </w:rPr>
        <w:t xml:space="preserve"> </w:t>
      </w:r>
      <w:r>
        <w:t>doğrultusunda,</w:t>
      </w:r>
      <w:r>
        <w:rPr>
          <w:spacing w:val="-19"/>
        </w:rPr>
        <w:t xml:space="preserve"> </w:t>
      </w:r>
      <w:r>
        <w:t>Bilimsel</w:t>
      </w:r>
      <w:r>
        <w:rPr>
          <w:spacing w:val="-10"/>
        </w:rPr>
        <w:t xml:space="preserve"> </w:t>
      </w:r>
      <w:r>
        <w:t>Komiteden</w:t>
      </w:r>
      <w:r>
        <w:rPr>
          <w:spacing w:val="-1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iki</w:t>
      </w:r>
      <w:r>
        <w:rPr>
          <w:spacing w:val="-18"/>
        </w:rPr>
        <w:t xml:space="preserve"> </w:t>
      </w:r>
      <w:r>
        <w:t>üye</w:t>
      </w:r>
      <w:r>
        <w:rPr>
          <w:spacing w:val="-20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diğer</w:t>
      </w:r>
      <w:r>
        <w:rPr>
          <w:spacing w:val="-15"/>
        </w:rPr>
        <w:t xml:space="preserve"> </w:t>
      </w:r>
      <w:r>
        <w:t>bağımsız</w:t>
      </w:r>
      <w:r>
        <w:rPr>
          <w:spacing w:val="-9"/>
        </w:rPr>
        <w:t xml:space="preserve"> </w:t>
      </w:r>
      <w:r>
        <w:t>hakemler (ihtiyaç olması halinde) tarafından çift-kör hakem değerlendirmesi ile incelenecektir. Bildirilerin</w:t>
      </w:r>
      <w:r>
        <w:rPr>
          <w:spacing w:val="-31"/>
        </w:rPr>
        <w:t xml:space="preserve"> </w:t>
      </w:r>
      <w:r>
        <w:t>tam</w:t>
      </w:r>
      <w:r>
        <w:rPr>
          <w:spacing w:val="-37"/>
        </w:rPr>
        <w:t xml:space="preserve"> </w:t>
      </w:r>
      <w:r>
        <w:t>metni,</w:t>
      </w:r>
      <w:r>
        <w:rPr>
          <w:spacing w:val="-33"/>
        </w:rPr>
        <w:t xml:space="preserve"> </w:t>
      </w:r>
      <w:r>
        <w:t>Kongre</w:t>
      </w:r>
      <w:r>
        <w:rPr>
          <w:spacing w:val="-33"/>
        </w:rPr>
        <w:t xml:space="preserve"> </w:t>
      </w:r>
      <w:r>
        <w:t>kitabında</w:t>
      </w:r>
      <w:r>
        <w:rPr>
          <w:spacing w:val="-32"/>
        </w:rPr>
        <w:t xml:space="preserve"> </w:t>
      </w:r>
      <w:r>
        <w:t>b</w:t>
      </w:r>
      <w:r>
        <w:t>asılacaktır.</w:t>
      </w:r>
      <w:r>
        <w:rPr>
          <w:spacing w:val="-33"/>
        </w:rPr>
        <w:t xml:space="preserve"> </w:t>
      </w:r>
      <w:r>
        <w:t>Ayrıca,</w:t>
      </w:r>
      <w:r>
        <w:rPr>
          <w:spacing w:val="-35"/>
        </w:rPr>
        <w:t xml:space="preserve"> </w:t>
      </w:r>
      <w:r>
        <w:t>dileyen</w:t>
      </w:r>
      <w:r>
        <w:rPr>
          <w:spacing w:val="-33"/>
        </w:rPr>
        <w:t xml:space="preserve"> </w:t>
      </w:r>
      <w:r>
        <w:t>yazarların</w:t>
      </w:r>
      <w:r>
        <w:rPr>
          <w:spacing w:val="-30"/>
        </w:rPr>
        <w:t xml:space="preserve"> </w:t>
      </w:r>
      <w:r>
        <w:t xml:space="preserve">bildirileri </w:t>
      </w:r>
      <w:r>
        <w:rPr>
          <w:w w:val="95"/>
        </w:rPr>
        <w:t xml:space="preserve">ulusal </w:t>
      </w:r>
      <w:proofErr w:type="spellStart"/>
      <w:r>
        <w:rPr>
          <w:w w:val="95"/>
        </w:rPr>
        <w:t>editoryal</w:t>
      </w:r>
      <w:proofErr w:type="spellEnd"/>
      <w:r>
        <w:rPr>
          <w:w w:val="95"/>
        </w:rPr>
        <w:t xml:space="preserve"> kitapta yayımlanabilecektir. Konferansımız, atama, yükselme ve akademik </w:t>
      </w:r>
      <w:r>
        <w:t xml:space="preserve">teşvik </w:t>
      </w:r>
      <w:proofErr w:type="gramStart"/>
      <w:r>
        <w:t>kriterlerini</w:t>
      </w:r>
      <w:proofErr w:type="gramEnd"/>
      <w:r>
        <w:t xml:space="preserve"> bütünüyle karşılamaktadır. Organizasyon komitemiz adına sizleri, Konferansımıza davet etmekten onur</w:t>
      </w:r>
      <w:r>
        <w:rPr>
          <w:spacing w:val="5"/>
        </w:rPr>
        <w:t xml:space="preserve"> </w:t>
      </w:r>
      <w:r>
        <w:t>duyuyoruz.</w:t>
      </w:r>
    </w:p>
    <w:p w:rsidR="00CC2349" w:rsidRDefault="007E21E7">
      <w:pPr>
        <w:pStyle w:val="GvdeMetni"/>
        <w:spacing w:before="15"/>
        <w:ind w:left="1527"/>
        <w:jc w:val="both"/>
      </w:pPr>
      <w:r>
        <w:t>En iyi dileklerimizle...</w:t>
      </w:r>
    </w:p>
    <w:p w:rsidR="00CC2349" w:rsidRDefault="00CC2349">
      <w:pPr>
        <w:pStyle w:val="GvdeMetni"/>
        <w:rPr>
          <w:sz w:val="28"/>
        </w:rPr>
      </w:pPr>
    </w:p>
    <w:p w:rsidR="00CC2349" w:rsidRDefault="00CC2349">
      <w:pPr>
        <w:pStyle w:val="GvdeMetni"/>
        <w:spacing w:before="9"/>
        <w:rPr>
          <w:sz w:val="36"/>
        </w:rPr>
      </w:pPr>
    </w:p>
    <w:p w:rsidR="00CC2349" w:rsidRDefault="007E21E7">
      <w:pPr>
        <w:pStyle w:val="GvdeMetni"/>
        <w:spacing w:line="268" w:lineRule="auto"/>
        <w:ind w:left="827" w:hanging="10"/>
      </w:pPr>
      <w:r>
        <w:t>Kongrede</w:t>
      </w:r>
      <w:r>
        <w:rPr>
          <w:spacing w:val="-8"/>
        </w:rPr>
        <w:t xml:space="preserve"> </w:t>
      </w:r>
      <w:r>
        <w:t>bütün</w:t>
      </w:r>
      <w:r>
        <w:rPr>
          <w:spacing w:val="-7"/>
        </w:rPr>
        <w:t xml:space="preserve"> </w:t>
      </w:r>
      <w:r>
        <w:t>araştırmacılar</w:t>
      </w:r>
      <w:r>
        <w:rPr>
          <w:spacing w:val="-12"/>
        </w:rPr>
        <w:t xml:space="preserve"> </w:t>
      </w:r>
      <w:r>
        <w:t>kendi</w:t>
      </w:r>
      <w:r>
        <w:rPr>
          <w:spacing w:val="-9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alanlarıyla</w:t>
      </w:r>
      <w:r>
        <w:rPr>
          <w:spacing w:val="-5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bildiri</w:t>
      </w:r>
      <w:r>
        <w:rPr>
          <w:spacing w:val="-6"/>
        </w:rPr>
        <w:t xml:space="preserve"> </w:t>
      </w:r>
      <w:r>
        <w:t>sunabilirler.</w:t>
      </w:r>
      <w:r>
        <w:rPr>
          <w:spacing w:val="-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çerçevede bel</w:t>
      </w:r>
      <w:r>
        <w:t>irlenen konu başlıkları şöyle</w:t>
      </w:r>
      <w:r>
        <w:rPr>
          <w:spacing w:val="46"/>
        </w:rPr>
        <w:t xml:space="preserve"> </w:t>
      </w:r>
      <w:r>
        <w:t>sıralanabilir:</w:t>
      </w:r>
    </w:p>
    <w:p w:rsidR="00CC2349" w:rsidRDefault="00CC2349">
      <w:pPr>
        <w:pStyle w:val="GvdeMetni"/>
        <w:spacing w:before="10"/>
        <w:rPr>
          <w:sz w:val="23"/>
        </w:rPr>
      </w:pP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spacing w:before="0"/>
        <w:rPr>
          <w:color w:val="070118"/>
          <w:sz w:val="25"/>
        </w:rPr>
      </w:pPr>
      <w:r>
        <w:rPr>
          <w:w w:val="95"/>
          <w:sz w:val="25"/>
        </w:rPr>
        <w:t>Edebiyat ve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Psikoloji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spacing w:before="34"/>
        <w:rPr>
          <w:color w:val="050505"/>
          <w:sz w:val="25"/>
        </w:rPr>
      </w:pPr>
      <w:proofErr w:type="spellStart"/>
      <w:r>
        <w:rPr>
          <w:sz w:val="25"/>
        </w:rPr>
        <w:t>Edebiyatl</w:t>
      </w:r>
      <w:proofErr w:type="spellEnd"/>
      <w:r>
        <w:rPr>
          <w:spacing w:val="22"/>
          <w:sz w:val="25"/>
        </w:rPr>
        <w:t xml:space="preserve"> </w:t>
      </w:r>
      <w:r>
        <w:rPr>
          <w:sz w:val="25"/>
        </w:rPr>
        <w:t>Tarihi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rPr>
          <w:sz w:val="25"/>
        </w:rPr>
      </w:pPr>
      <w:r>
        <w:rPr>
          <w:sz w:val="25"/>
        </w:rPr>
        <w:t>Edebiyat Eğitiminde Gelenekçi ve Yenilikçi</w:t>
      </w:r>
      <w:r>
        <w:rPr>
          <w:spacing w:val="59"/>
          <w:sz w:val="25"/>
        </w:rPr>
        <w:t xml:space="preserve"> </w:t>
      </w:r>
      <w:r>
        <w:rPr>
          <w:sz w:val="25"/>
        </w:rPr>
        <w:t>Yönelimler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rPr>
          <w:color w:val="0C0C0C"/>
          <w:sz w:val="25"/>
        </w:rPr>
      </w:pPr>
      <w:r>
        <w:rPr>
          <w:sz w:val="25"/>
        </w:rPr>
        <w:t>Edebiyat ve</w:t>
      </w:r>
      <w:r>
        <w:rPr>
          <w:spacing w:val="24"/>
          <w:sz w:val="25"/>
        </w:rPr>
        <w:t xml:space="preserve"> </w:t>
      </w:r>
      <w:r>
        <w:rPr>
          <w:sz w:val="25"/>
        </w:rPr>
        <w:t>Kültür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spacing w:before="29"/>
        <w:rPr>
          <w:color w:val="050115"/>
          <w:sz w:val="25"/>
        </w:rPr>
      </w:pPr>
      <w:r>
        <w:rPr>
          <w:sz w:val="25"/>
        </w:rPr>
        <w:t>Edebiyat ve</w:t>
      </w:r>
      <w:r>
        <w:rPr>
          <w:spacing w:val="23"/>
          <w:sz w:val="25"/>
        </w:rPr>
        <w:t xml:space="preserve"> </w:t>
      </w:r>
      <w:r>
        <w:rPr>
          <w:sz w:val="25"/>
        </w:rPr>
        <w:t>Din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1"/>
          <w:tab w:val="left" w:pos="1552"/>
        </w:tabs>
        <w:spacing w:before="25"/>
        <w:rPr>
          <w:sz w:val="25"/>
        </w:rPr>
      </w:pPr>
      <w:r>
        <w:rPr>
          <w:sz w:val="25"/>
        </w:rPr>
        <w:t>Edebiyat, Hayat ve</w:t>
      </w:r>
      <w:r>
        <w:rPr>
          <w:spacing w:val="33"/>
          <w:sz w:val="25"/>
        </w:rPr>
        <w:t xml:space="preserve"> </w:t>
      </w:r>
      <w:r>
        <w:rPr>
          <w:sz w:val="25"/>
        </w:rPr>
        <w:t>Sanat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6"/>
          <w:tab w:val="left" w:pos="1557"/>
        </w:tabs>
        <w:spacing w:before="35"/>
        <w:ind w:left="1556"/>
        <w:rPr>
          <w:sz w:val="25"/>
        </w:rPr>
      </w:pPr>
      <w:r>
        <w:rPr>
          <w:sz w:val="25"/>
        </w:rPr>
        <w:t>Edebiyatta Felsefi</w:t>
      </w:r>
      <w:r>
        <w:rPr>
          <w:spacing w:val="34"/>
          <w:sz w:val="25"/>
        </w:rPr>
        <w:t xml:space="preserve"> </w:t>
      </w:r>
      <w:r>
        <w:rPr>
          <w:sz w:val="25"/>
        </w:rPr>
        <w:t>Yaklaşımlar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6"/>
          <w:tab w:val="left" w:pos="1557"/>
        </w:tabs>
        <w:spacing w:before="39"/>
        <w:ind w:left="1556" w:hanging="370"/>
        <w:rPr>
          <w:sz w:val="25"/>
        </w:rPr>
      </w:pPr>
      <w:r>
        <w:rPr>
          <w:w w:val="95"/>
          <w:sz w:val="25"/>
        </w:rPr>
        <w:t>Edebiyat ve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Sağlık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6"/>
          <w:tab w:val="left" w:pos="1557"/>
        </w:tabs>
        <w:ind w:left="1556"/>
        <w:rPr>
          <w:color w:val="030303"/>
          <w:sz w:val="25"/>
        </w:rPr>
      </w:pPr>
      <w:r>
        <w:rPr>
          <w:w w:val="95"/>
          <w:sz w:val="25"/>
        </w:rPr>
        <w:t>Edebiyat ve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Çevre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6"/>
          <w:tab w:val="left" w:pos="1557"/>
        </w:tabs>
        <w:spacing w:before="29"/>
        <w:ind w:left="1556"/>
        <w:rPr>
          <w:color w:val="030303"/>
          <w:sz w:val="25"/>
        </w:rPr>
      </w:pPr>
      <w:r>
        <w:rPr>
          <w:w w:val="95"/>
          <w:sz w:val="25"/>
        </w:rPr>
        <w:t>Edebiyat ve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Medya</w:t>
      </w:r>
    </w:p>
    <w:p w:rsidR="00CC2349" w:rsidRDefault="007E21E7">
      <w:pPr>
        <w:pStyle w:val="ListeParagraf"/>
        <w:numPr>
          <w:ilvl w:val="2"/>
          <w:numId w:val="1"/>
        </w:numPr>
        <w:tabs>
          <w:tab w:val="left" w:pos="1556"/>
          <w:tab w:val="left" w:pos="1557"/>
        </w:tabs>
        <w:spacing w:before="35"/>
        <w:ind w:left="1556" w:hanging="370"/>
        <w:rPr>
          <w:sz w:val="25"/>
        </w:rPr>
      </w:pPr>
      <w:r>
        <w:rPr>
          <w:w w:val="95"/>
          <w:sz w:val="25"/>
        </w:rPr>
        <w:t>Edebiyat ve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Siyaset</w:t>
      </w:r>
    </w:p>
    <w:p w:rsidR="00CC2349" w:rsidRDefault="00CC2349">
      <w:pPr>
        <w:rPr>
          <w:sz w:val="25"/>
        </w:rPr>
        <w:sectPr w:rsidR="00CC2349">
          <w:pgSz w:w="11900" w:h="16800"/>
          <w:pgMar w:top="1360" w:right="640" w:bottom="280" w:left="580" w:header="708" w:footer="708" w:gutter="0"/>
          <w:cols w:space="708"/>
        </w:sectPr>
      </w:pPr>
    </w:p>
    <w:p w:rsidR="00CC2349" w:rsidRDefault="00CC2349" w:rsidP="007E21E7">
      <w:pPr>
        <w:pStyle w:val="GvdeMetni"/>
        <w:rPr>
          <w:sz w:val="20"/>
        </w:rPr>
      </w:pPr>
      <w:bookmarkStart w:id="0" w:name="_GoBack"/>
      <w:bookmarkEnd w:id="0"/>
    </w:p>
    <w:sectPr w:rsidR="00CC2349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5491"/>
    <w:multiLevelType w:val="multilevel"/>
    <w:tmpl w:val="2B7A56AA"/>
    <w:lvl w:ilvl="0">
      <w:start w:val="5"/>
      <w:numFmt w:val="lowerLetter"/>
      <w:lvlText w:val="%1"/>
      <w:lvlJc w:val="left"/>
      <w:pPr>
        <w:ind w:left="350" w:hanging="241"/>
        <w:jc w:val="left"/>
      </w:pPr>
      <w:rPr>
        <w:rFonts w:hint="default"/>
        <w:lang w:val="tr-TR" w:eastAsia="tr-TR" w:bidi="tr-TR"/>
      </w:rPr>
    </w:lvl>
    <w:lvl w:ilvl="1">
      <w:start w:val="16"/>
      <w:numFmt w:val="upperLetter"/>
      <w:lvlText w:val="%1-%2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6"/>
        <w:szCs w:val="16"/>
        <w:lang w:val="tr-TR" w:eastAsia="tr-TR" w:bidi="tr-TR"/>
      </w:rPr>
    </w:lvl>
    <w:lvl w:ilvl="2">
      <w:numFmt w:val="bullet"/>
      <w:lvlText w:val="•"/>
      <w:lvlJc w:val="left"/>
      <w:pPr>
        <w:ind w:left="1552" w:hanging="374"/>
      </w:pPr>
      <w:rPr>
        <w:rFonts w:hint="default"/>
        <w:w w:val="96"/>
        <w:lang w:val="tr-TR" w:eastAsia="tr-TR" w:bidi="tr-TR"/>
      </w:rPr>
    </w:lvl>
    <w:lvl w:ilvl="3">
      <w:numFmt w:val="bullet"/>
      <w:lvlText w:val="•"/>
      <w:lvlJc w:val="left"/>
      <w:pPr>
        <w:ind w:left="3586" w:hanging="374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00" w:hanging="37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13" w:hanging="37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26" w:hanging="37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40" w:hanging="37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653" w:hanging="37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2349"/>
    <w:rsid w:val="007E21E7"/>
    <w:rsid w:val="00C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4AFD"/>
  <w15:docId w15:val="{A0FECE7E-F624-4F78-A2AC-0810592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spacing w:before="30"/>
      <w:ind w:left="1552" w:hanging="3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2021-02-02T07:52:00Z</dcterms:created>
  <dcterms:modified xsi:type="dcterms:W3CDTF">2021-02-02T07:54:00Z</dcterms:modified>
</cp:coreProperties>
</file>