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299" w:rsidRDefault="00C91E69">
      <w:pPr>
        <w:spacing w:after="287" w:line="265" w:lineRule="auto"/>
        <w:ind w:left="3202" w:hanging="10"/>
      </w:pPr>
      <w:bookmarkStart w:id="0" w:name="_GoBack"/>
      <w:bookmarkEnd w:id="0"/>
      <w:r>
        <w:rPr>
          <w:rFonts w:ascii="Times New Roman" w:eastAsia="Times New Roman" w:hAnsi="Times New Roman" w:cs="Times New Roman"/>
          <w:b/>
          <w:sz w:val="24"/>
        </w:rPr>
        <w:t>ULUSLARARASI SEMPOZYUM</w:t>
      </w:r>
    </w:p>
    <w:p w:rsidR="00454299" w:rsidRDefault="00C91E69">
      <w:pPr>
        <w:spacing w:after="36"/>
        <w:ind w:left="435" w:hanging="10"/>
        <w:jc w:val="center"/>
      </w:pPr>
      <w:r>
        <w:rPr>
          <w:rFonts w:ascii="Times New Roman" w:eastAsia="Times New Roman" w:hAnsi="Times New Roman" w:cs="Times New Roman"/>
          <w:b/>
          <w:sz w:val="24"/>
        </w:rPr>
        <w:t>İSLÂM DÜŞÜNCESİNDE ELEŞTİRİ KÜLTÜRÜ VE TAHAMMÜL AHLÂKI III</w:t>
      </w:r>
    </w:p>
    <w:p w:rsidR="00454299" w:rsidRDefault="00C91E69">
      <w:pPr>
        <w:pStyle w:val="Balk1"/>
        <w:tabs>
          <w:tab w:val="center" w:pos="5388"/>
          <w:tab w:val="center" w:pos="9540"/>
        </w:tabs>
        <w:spacing w:after="157"/>
        <w:ind w:left="0"/>
        <w:jc w:val="left"/>
      </w:pPr>
      <w:r>
        <w:rPr>
          <w:rFonts w:ascii="Calibri" w:eastAsia="Calibri" w:hAnsi="Calibri" w:cs="Calibri"/>
          <w:b w:val="0"/>
          <w:sz w:val="22"/>
        </w:rPr>
        <w:tab/>
      </w:r>
      <w:r>
        <w:t xml:space="preserve">(M. XII. – XIX. </w:t>
      </w:r>
      <w:r>
        <w:t>Yüzyıl</w:t>
      </w:r>
      <w:r>
        <w:t xml:space="preserve"> </w:t>
      </w:r>
      <w:r>
        <w:t>Arası)</w:t>
      </w:r>
      <w:r>
        <w:tab/>
      </w:r>
      <w:r>
        <w:rPr>
          <w:b w:val="0"/>
          <w:sz w:val="37"/>
          <w:vertAlign w:val="superscript"/>
        </w:rPr>
        <w:t>Ek-2</w:t>
      </w:r>
    </w:p>
    <w:p w:rsidR="00454299" w:rsidRDefault="00C91E69">
      <w:pPr>
        <w:spacing w:after="0" w:line="249" w:lineRule="auto"/>
        <w:ind w:left="425" w:firstLine="589"/>
        <w:jc w:val="both"/>
      </w:pPr>
      <w:r>
        <w:rPr>
          <w:rFonts w:ascii="Times New Roman" w:eastAsia="Times New Roman" w:hAnsi="Times New Roman" w:cs="Times New Roman"/>
          <w:sz w:val="24"/>
        </w:rPr>
        <w:t>İlkini 26-28 Nisan 2019, ikincisini 7 Aralık 2020 tarihinde gerçekleştirdiğimiz “İslam Düşüncesinde Eleştiri Kültürü ve Tahammül Ahlakı” b</w:t>
      </w:r>
      <w:r>
        <w:rPr>
          <w:rFonts w:ascii="Times New Roman" w:eastAsia="Times New Roman" w:hAnsi="Times New Roman" w:cs="Times New Roman"/>
          <w:sz w:val="24"/>
        </w:rPr>
        <w:t>aşlıklı sempozyum serilerinin üçüncüsünü 28-29 Mayıs 2021 tarihinde yapmayı planlıyoruz.</w:t>
      </w:r>
    </w:p>
    <w:p w:rsidR="00454299" w:rsidRDefault="00C91E69">
      <w:pPr>
        <w:spacing w:after="0" w:line="249" w:lineRule="auto"/>
        <w:ind w:left="425" w:firstLine="589"/>
        <w:jc w:val="both"/>
      </w:pPr>
      <w:r>
        <w:rPr>
          <w:rFonts w:ascii="Times New Roman" w:eastAsia="Times New Roman" w:hAnsi="Times New Roman" w:cs="Times New Roman"/>
          <w:sz w:val="24"/>
        </w:rPr>
        <w:t>İkinci sempozyumda, eleştirel düşünce ve tahammül ahlakının İslami ilimlerin genel anlamda teşekkülünü tamamladığı ilk beş yüzyıldaki yansımalarına odaklanmıştık. İlim</w:t>
      </w:r>
      <w:r>
        <w:rPr>
          <w:rFonts w:ascii="Times New Roman" w:eastAsia="Times New Roman" w:hAnsi="Times New Roman" w:cs="Times New Roman"/>
          <w:sz w:val="24"/>
        </w:rPr>
        <w:t>lerin ana temaları ve usul arayışları konusunda özgürce düşünmenin baskın olduğu bu dönemdeki faaliyetlerin farklı ilim dallarında nasıl bir eleştirel bakış açısıyla yapıldığı, sempozyumda sunulan tebliğlerin odağını oluşturmuştu. Mamafih 12.yüzyılla başla</w:t>
      </w:r>
      <w:r>
        <w:rPr>
          <w:rFonts w:ascii="Times New Roman" w:eastAsia="Times New Roman" w:hAnsi="Times New Roman" w:cs="Times New Roman"/>
          <w:sz w:val="24"/>
        </w:rPr>
        <w:t>yan ve Osmanlı Devleti’nin fiilen yıkıldığı 19.yüzyıla kadar süren uzun tarihi dönemin, sempozyumda ulaşılması amaçlanan hedefler açısından çok daha farklı ve zengin bir mirası barındırdığının farkındaydık. Tefsir, Hadis, Kelam, Fıkıh ve Tasavvuf gibi ilim</w:t>
      </w:r>
      <w:r>
        <w:rPr>
          <w:rFonts w:ascii="Times New Roman" w:eastAsia="Times New Roman" w:hAnsi="Times New Roman" w:cs="Times New Roman"/>
          <w:sz w:val="24"/>
        </w:rPr>
        <w:t>lerin çatısını oluşturan temel kavram, teori, okul/ekol ve tasniflerin tamamlanmasını takip eden bu dönemde bir taraftan alt disiplinlerin belirlenip derinleştirilmesine ve usule dönük tartışmalar yapılmış, diğer taraftan ilimler arasında güçlü etkileşimle</w:t>
      </w:r>
      <w:r>
        <w:rPr>
          <w:rFonts w:ascii="Times New Roman" w:eastAsia="Times New Roman" w:hAnsi="Times New Roman" w:cs="Times New Roman"/>
          <w:sz w:val="24"/>
        </w:rPr>
        <w:t>rin yaşandığına şahit olunmuştur. Örneğin Kelam-Felsefe, Kelam-Mantık, Tasavvuf-Felsefe gibi disiplinler arasında gerçekleşen bu etkileşimler, tercümeler kanalıyla İslam düşünce geleneğine kısmen nüfuz etmeye başlayan dış kaynaklı düşüncelerin mahiyetine v</w:t>
      </w:r>
      <w:r>
        <w:rPr>
          <w:rFonts w:ascii="Times New Roman" w:eastAsia="Times New Roman" w:hAnsi="Times New Roman" w:cs="Times New Roman"/>
          <w:sz w:val="24"/>
        </w:rPr>
        <w:t>e İslamî ilimler üzerindeki tesirlerine dair yeni tartışmaların gündeme gelmesine neden olmuştur. Bu tartışmaların izdüşümlerini takip etmek, araştırmacıların ciddi çabalarına ihtiyaç duymaktadır.</w:t>
      </w:r>
    </w:p>
    <w:p w:rsidR="00454299" w:rsidRDefault="00C91E69">
      <w:pPr>
        <w:spacing w:after="0" w:line="249" w:lineRule="auto"/>
        <w:ind w:left="425" w:firstLine="589"/>
        <w:jc w:val="both"/>
      </w:pPr>
      <w:r>
        <w:rPr>
          <w:rFonts w:ascii="Times New Roman" w:eastAsia="Times New Roman" w:hAnsi="Times New Roman" w:cs="Times New Roman"/>
          <w:sz w:val="24"/>
        </w:rPr>
        <w:t>İslam düşüncesinin çeşitlilik,</w:t>
      </w:r>
      <w:r>
        <w:rPr>
          <w:rFonts w:ascii="Times New Roman" w:eastAsia="Times New Roman" w:hAnsi="Times New Roman" w:cs="Times New Roman"/>
          <w:sz w:val="24"/>
        </w:rPr>
        <w:t xml:space="preserve"> süreklilik ve yenilik dengesini farklı alanlarda nasıl sağladığını göstermesi bakımından mezkûr dönem meraklılara ilginç veriler sunmaktadır. Zira her ne kadar mütekaddimûn döneminde yaşayan âlimlerin ve telif ettikleri eserlerin Gazalî ile başlatılan ve </w:t>
      </w:r>
      <w:r>
        <w:rPr>
          <w:rFonts w:ascii="Times New Roman" w:eastAsia="Times New Roman" w:hAnsi="Times New Roman" w:cs="Times New Roman"/>
          <w:sz w:val="24"/>
        </w:rPr>
        <w:t>muteahhirûn olarak ifade edilen sonraki dönem âlimlerine ve onlar tarafından telif edilen eserlere ortak bir referans alanı oluşturduğu ifade edilebilirse de fikrî, bireysel ve toplumsal alanda ortaya çıkan ihtilafları çözmek, muhasebe ve yenilenme arayışl</w:t>
      </w:r>
      <w:r>
        <w:rPr>
          <w:rFonts w:ascii="Times New Roman" w:eastAsia="Times New Roman" w:hAnsi="Times New Roman" w:cs="Times New Roman"/>
          <w:sz w:val="24"/>
        </w:rPr>
        <w:t>arına makul bir seyir kazandırmak kolay olmamış, İslam dünyası özünde gelenek-yenilenme, merkez-muhit, felsefe-din kategorilerine dayanan gerilimlerin de olduğu zengin bir tartışma alanına tanık olmuştur. Kanaatimizce bu tartışmalara hâkim olan eleştirel b</w:t>
      </w:r>
      <w:r>
        <w:rPr>
          <w:rFonts w:ascii="Times New Roman" w:eastAsia="Times New Roman" w:hAnsi="Times New Roman" w:cs="Times New Roman"/>
          <w:sz w:val="24"/>
        </w:rPr>
        <w:t>akış açısını ve buna verilen tepki biçimlerini çözümlemek, çağdaş İslam düşüncesine yön veren eleştiri dilini anlamak açısından hayatîdir.</w:t>
      </w:r>
    </w:p>
    <w:p w:rsidR="00454299" w:rsidRDefault="00C91E69">
      <w:pPr>
        <w:spacing w:after="0" w:line="249" w:lineRule="auto"/>
        <w:ind w:left="425" w:firstLine="589"/>
        <w:jc w:val="both"/>
      </w:pPr>
      <w:r>
        <w:rPr>
          <w:rFonts w:ascii="Times New Roman" w:eastAsia="Times New Roman" w:hAnsi="Times New Roman" w:cs="Times New Roman"/>
          <w:sz w:val="24"/>
        </w:rPr>
        <w:t>Müteahhirûn dönemiyle birlikte İslam düşüncesinin bütün alanlarında muazzam ilmî gelişmeler yaşanmıştır. Sadece ulema</w:t>
      </w:r>
      <w:r>
        <w:rPr>
          <w:rFonts w:ascii="Times New Roman" w:eastAsia="Times New Roman" w:hAnsi="Times New Roman" w:cs="Times New Roman"/>
          <w:sz w:val="24"/>
        </w:rPr>
        <w:t xml:space="preserve"> ve eser isimlerini sıralamanın dahi ancak hacimli bir çalışmayla mümkün olabileceği bu dönem, oryantalistlerin iddia ettiğinin aksine çok ciddi bilimsel yeniliklere ve keşiflere sahne olmuştur. Gazalî’nin bir yandan Kelam ve Felsefeye yönelttiği sistemati</w:t>
      </w:r>
      <w:r>
        <w:rPr>
          <w:rFonts w:ascii="Times New Roman" w:eastAsia="Times New Roman" w:hAnsi="Times New Roman" w:cs="Times New Roman"/>
          <w:sz w:val="24"/>
        </w:rPr>
        <w:t xml:space="preserve">k eleştiriler öte yandan mantığı bir yöntem olarak kullanmaya başlaması; İbn Sina düşüncesi etrafında şekillenen tartışmaların </w:t>
      </w:r>
      <w:r>
        <w:rPr>
          <w:rFonts w:ascii="Times New Roman" w:eastAsia="Times New Roman" w:hAnsi="Times New Roman" w:cs="Times New Roman"/>
          <w:i/>
          <w:sz w:val="24"/>
        </w:rPr>
        <w:t xml:space="preserve">tahkîk </w:t>
      </w:r>
      <w:r>
        <w:rPr>
          <w:rFonts w:ascii="Times New Roman" w:eastAsia="Times New Roman" w:hAnsi="Times New Roman" w:cs="Times New Roman"/>
          <w:sz w:val="24"/>
        </w:rPr>
        <w:t xml:space="preserve">ve </w:t>
      </w:r>
      <w:r>
        <w:rPr>
          <w:rFonts w:ascii="Times New Roman" w:eastAsia="Times New Roman" w:hAnsi="Times New Roman" w:cs="Times New Roman"/>
          <w:i/>
          <w:sz w:val="24"/>
        </w:rPr>
        <w:t>keşif</w:t>
      </w:r>
      <w:r>
        <w:rPr>
          <w:rFonts w:ascii="Times New Roman" w:eastAsia="Times New Roman" w:hAnsi="Times New Roman" w:cs="Times New Roman"/>
          <w:sz w:val="24"/>
        </w:rPr>
        <w:t xml:space="preserve"> şeklinde güçlü ve sistematik bir eleştirel seviye kazanması, İbn Arabî’nin Kelam ve Felsefeyi de içine alan bir t</w:t>
      </w:r>
      <w:r>
        <w:rPr>
          <w:rFonts w:ascii="Times New Roman" w:eastAsia="Times New Roman" w:hAnsi="Times New Roman" w:cs="Times New Roman"/>
          <w:sz w:val="24"/>
        </w:rPr>
        <w:t>asavvuf düşüncesi için teorik zemin oluşturma çabası, Abdülkahir el-Cürcânî’nin Nahiv, Belağat, Mantık ve Kelam gibi farklı alanlardaki problemleri dil felsefesinin temel soruları üzerinden izah etmeye çalışması türünden örnekler, ele aldığımız dönemin tar</w:t>
      </w:r>
      <w:r>
        <w:rPr>
          <w:rFonts w:ascii="Times New Roman" w:eastAsia="Times New Roman" w:hAnsi="Times New Roman" w:cs="Times New Roman"/>
          <w:sz w:val="24"/>
        </w:rPr>
        <w:t>tışma, tenkit ve tepki biçimlerine dair sayısız veri sunacaktır. Tefsir, Hadis, Kelam, Fıkıh, Tasavvuf, Dil, Mantık, Felsefe, Ahlak gibi alanlarda bütün büyük okulların, temel teorilerin, derinleşmiş tasniflerin ve kompleks istidlâl biçimlerinin teşekkül e</w:t>
      </w:r>
      <w:r>
        <w:rPr>
          <w:rFonts w:ascii="Times New Roman" w:eastAsia="Times New Roman" w:hAnsi="Times New Roman" w:cs="Times New Roman"/>
          <w:sz w:val="24"/>
        </w:rPr>
        <w:t>ttiği bu dönem, aynı zamanda Matematik, Tıp, Kimya, Astronomi, Coğrafya ve Tarih gibi alanlarda da muazzam gelişmelere ve tartışmalara tanıklık etmiştir. Bu dönemde cedel, tehâfüt, âdabu’l-bahs ve’l-münâzara, ilm-i hilâf, hilâfiyat, takrîr, siyasetnâme, na</w:t>
      </w:r>
      <w:r>
        <w:rPr>
          <w:rFonts w:ascii="Times New Roman" w:eastAsia="Times New Roman" w:hAnsi="Times New Roman" w:cs="Times New Roman"/>
          <w:sz w:val="24"/>
        </w:rPr>
        <w:t xml:space="preserve">sihatnâme ve muâraza gibi kavramlarla anılan ve farklı ilim dallarını temsil eden eleştiri gelenekleri oluşmuştur. Şerh, hâşiye, tahkîk, tecrîd, tetkîk, tenbîh, telhîs, metâlib, takrîr, takrîb ve zeyl türünden çalışmalarla yeni ve özgün eleştiri teorileri </w:t>
      </w:r>
      <w:r>
        <w:rPr>
          <w:rFonts w:ascii="Times New Roman" w:eastAsia="Times New Roman" w:hAnsi="Times New Roman" w:cs="Times New Roman"/>
          <w:sz w:val="24"/>
        </w:rPr>
        <w:t xml:space="preserve">geliştiren âlimler, ele aldığımız dönemin temel karakteristiğini belirlemişlerdir. </w:t>
      </w:r>
    </w:p>
    <w:p w:rsidR="00454299" w:rsidRDefault="00C91E69">
      <w:pPr>
        <w:spacing w:after="0" w:line="249" w:lineRule="auto"/>
        <w:ind w:left="425" w:firstLine="589"/>
        <w:jc w:val="both"/>
      </w:pPr>
      <w:r>
        <w:rPr>
          <w:rFonts w:ascii="Times New Roman" w:eastAsia="Times New Roman" w:hAnsi="Times New Roman" w:cs="Times New Roman"/>
          <w:sz w:val="24"/>
        </w:rPr>
        <w:lastRenderedPageBreak/>
        <w:t>12. – 19.yy. arası dönemde, aynı zamanda siyasi ve toplumsal anlamda büyük oluşumlar ve yıkımlar gerçekleşmiştir. Haçlı ve Moğol saldırılarının oluşturduğu tahribat radikal</w:t>
      </w:r>
      <w:r>
        <w:rPr>
          <w:rFonts w:ascii="Times New Roman" w:eastAsia="Times New Roman" w:hAnsi="Times New Roman" w:cs="Times New Roman"/>
          <w:sz w:val="24"/>
        </w:rPr>
        <w:t xml:space="preserve"> evrilmelere ve tartışmalara yol açmıştır. Benzer bir sonuç Yunan felsefesi, Mısır, Hint ve Mezopotamya kültürlerinin intikaline bağlı olarak kültürel alanda ve dinî anlayışlarda ortaya çıkmıştır. Farklı yerlerde kurulan devletler, hanedanlıklar, beylikler</w:t>
      </w:r>
      <w:r>
        <w:rPr>
          <w:rFonts w:ascii="Times New Roman" w:eastAsia="Times New Roman" w:hAnsi="Times New Roman" w:cs="Times New Roman"/>
          <w:sz w:val="24"/>
        </w:rPr>
        <w:t xml:space="preserve"> ve bunlar arasında ortaya çıkan savaşlar, Endülüs ve son olarak etkileri bugüne kadar devam eden Osmanlı Devleti tecrübesi, sadece siyasî ve askerî alanda değil, düşünce ve kültür dünyasında da yeni paradigmalar üretmiştir. Bütün bu gelişmelerin yol açtığ</w:t>
      </w:r>
      <w:r>
        <w:rPr>
          <w:rFonts w:ascii="Times New Roman" w:eastAsia="Times New Roman" w:hAnsi="Times New Roman" w:cs="Times New Roman"/>
          <w:sz w:val="24"/>
        </w:rPr>
        <w:t>ı ve neredeyse tamamen heterojen ve kompleks ilişkiler düzleminde cereyan eden hadiselerin neden olduğu düşünsel çalkantılara düzen ve istikrar kazandırmak isteyen ulema, hem kendi içlerinde gelişen tartışmalara dâhil olmuşlardır hem de muhalif oldukları d</w:t>
      </w:r>
      <w:r>
        <w:rPr>
          <w:rFonts w:ascii="Times New Roman" w:eastAsia="Times New Roman" w:hAnsi="Times New Roman" w:cs="Times New Roman"/>
          <w:sz w:val="24"/>
        </w:rPr>
        <w:t>üşünce havzalarına mensup ilim adamlarıyla ciddi hesaplaşmalara girişmişlerdir.</w:t>
      </w:r>
    </w:p>
    <w:p w:rsidR="00454299" w:rsidRDefault="00C91E69">
      <w:pPr>
        <w:spacing w:after="0" w:line="249" w:lineRule="auto"/>
        <w:ind w:left="425" w:firstLine="589"/>
        <w:jc w:val="both"/>
      </w:pPr>
      <w:r>
        <w:rPr>
          <w:rFonts w:ascii="Times New Roman" w:eastAsia="Times New Roman" w:hAnsi="Times New Roman" w:cs="Times New Roman"/>
          <w:sz w:val="24"/>
        </w:rPr>
        <w:t>İslam medeniyetinin geniş bir coğrafyayı, uzun bir tarihsel dönemi ve sayısız insan topluluğunu içine alan hinterlandını dikkate aldığımızda, İslam düşüncesinin ve bu çerçevede</w:t>
      </w:r>
      <w:r>
        <w:rPr>
          <w:rFonts w:ascii="Times New Roman" w:eastAsia="Times New Roman" w:hAnsi="Times New Roman" w:cs="Times New Roman"/>
          <w:sz w:val="24"/>
        </w:rPr>
        <w:t xml:space="preserve"> ortaya çıkan ilimlerin her alanda dünya kültür mirasına eşsiz bir koleksiyon kazandırdığını söyleyebiliriz. Bu koleksiyonun eleştiri kültürü ve tahammül ahlakına dair barındırdığı birikimi keşfetmeye dönük çabaların hem İslam dünyasında yaşanan ihtilaf ve</w:t>
      </w:r>
      <w:r>
        <w:rPr>
          <w:rFonts w:ascii="Times New Roman" w:eastAsia="Times New Roman" w:hAnsi="Times New Roman" w:cs="Times New Roman"/>
          <w:sz w:val="24"/>
        </w:rPr>
        <w:t xml:space="preserve"> çatışmalara hem de insanlığın içine düştüğü kaos ve çalkantılara müstesna bir rehberlik sunacağı ümidini taşıyoruz.</w:t>
      </w:r>
    </w:p>
    <w:p w:rsidR="00454299" w:rsidRDefault="00C91E69">
      <w:pPr>
        <w:spacing w:after="0" w:line="249" w:lineRule="auto"/>
        <w:ind w:left="435" w:hanging="10"/>
        <w:jc w:val="both"/>
      </w:pPr>
      <w:r>
        <w:rPr>
          <w:rFonts w:ascii="Times New Roman" w:eastAsia="Times New Roman" w:hAnsi="Times New Roman" w:cs="Times New Roman"/>
          <w:sz w:val="24"/>
        </w:rPr>
        <w:t>Bu yıl gerçekleştireceğimiz sempozyumun bilim dallarına göre kabaca tasnif edilmiş örnekleri, araştırmacılara bir fikir vermesi için aşağıy</w:t>
      </w:r>
      <w:r>
        <w:rPr>
          <w:rFonts w:ascii="Times New Roman" w:eastAsia="Times New Roman" w:hAnsi="Times New Roman" w:cs="Times New Roman"/>
          <w:sz w:val="24"/>
        </w:rPr>
        <w:t>a alınmıştır.</w:t>
      </w:r>
    </w:p>
    <w:p w:rsidR="00454299" w:rsidRDefault="00C91E69">
      <w:pPr>
        <w:spacing w:after="0"/>
        <w:ind w:left="425"/>
        <w:jc w:val="center"/>
      </w:pPr>
      <w:r>
        <w:rPr>
          <w:rFonts w:ascii="Times New Roman" w:eastAsia="Times New Roman" w:hAnsi="Times New Roman" w:cs="Times New Roman"/>
          <w:sz w:val="24"/>
        </w:rPr>
        <w:t xml:space="preserve"> </w:t>
      </w:r>
    </w:p>
    <w:p w:rsidR="00454299" w:rsidRDefault="00C91E69">
      <w:pPr>
        <w:spacing w:after="0"/>
        <w:ind w:left="435" w:hanging="10"/>
        <w:jc w:val="center"/>
      </w:pPr>
      <w:r>
        <w:rPr>
          <w:rFonts w:ascii="Times New Roman" w:eastAsia="Times New Roman" w:hAnsi="Times New Roman" w:cs="Times New Roman"/>
          <w:b/>
          <w:sz w:val="24"/>
        </w:rPr>
        <w:t>SEMPOZYUM KONU BAŞLIKLARI</w:t>
      </w:r>
    </w:p>
    <w:p w:rsidR="00454299" w:rsidRDefault="00C91E69">
      <w:pPr>
        <w:spacing w:after="15"/>
        <w:ind w:left="425"/>
        <w:jc w:val="center"/>
      </w:pPr>
      <w:r>
        <w:rPr>
          <w:rFonts w:ascii="Times New Roman" w:eastAsia="Times New Roman" w:hAnsi="Times New Roman" w:cs="Times New Roman"/>
          <w:sz w:val="24"/>
        </w:rPr>
        <w:t xml:space="preserve"> </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Mezhebî tartışmaların tefsirlerdeki yansımaları</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Tefsirlerde İsrailiyatın yeri ve İsrâiliyâta bakış</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Tefsirlerde tekrar ve intihâl sorunları</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Tefsirlerde eleştiri kültürü</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Tefsirlerde farklı</w:t>
      </w:r>
      <w:r>
        <w:rPr>
          <w:rFonts w:ascii="Times New Roman" w:eastAsia="Times New Roman" w:hAnsi="Times New Roman" w:cs="Times New Roman"/>
          <w:sz w:val="24"/>
        </w:rPr>
        <w:t xml:space="preserve"> yorumlara yönelik tahammülün sınırı</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Tefsir usûlu ve tarihi eserlerinde mahiyet ve nitelik sorunsalı</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Oryantalistlerin Hadis geleneğine yaklaşımları</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Batı münasebetleri çerçevesinde Hadis savunuculuğu</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Mısır ve Hint alt kıtasında Hadis alanında yapılan çalışm</w:t>
      </w:r>
      <w:r>
        <w:rPr>
          <w:rFonts w:ascii="Times New Roman" w:eastAsia="Times New Roman" w:hAnsi="Times New Roman" w:cs="Times New Roman"/>
          <w:sz w:val="24"/>
        </w:rPr>
        <w:t>alar</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Hadise bütüncül yaklaşma faaliyetleri</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Sünnet kavramı etrafında gelişen tartışmalar</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Muhaddislerin birbirlerine yönelttikleri tenkitler</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İmâmiyye Şîası ve Hadis</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Usûli ve Ahbârîlerin birbirlerine yönelttiği eleştiriler</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Sahabîler döneminde gelişen siyasî o</w:t>
      </w:r>
      <w:r>
        <w:rPr>
          <w:rFonts w:ascii="Times New Roman" w:eastAsia="Times New Roman" w:hAnsi="Times New Roman" w:cs="Times New Roman"/>
          <w:sz w:val="24"/>
        </w:rPr>
        <w:t>laylara sonraki dönem âlimlerinin yaklaşımları</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Dönemin Fıkıh usûlü tartışmaları</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İctihad kapısının kapandığı yönündeki görüşlere yönelik eleştiriler</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İhtisâr ve metin türünden Fıkıh eserlerinin yazımının Fıkıh ilmine katkıları</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Mezhep taassubuna yol açan etke</w:t>
      </w:r>
      <w:r>
        <w:rPr>
          <w:rFonts w:ascii="Times New Roman" w:eastAsia="Times New Roman" w:hAnsi="Times New Roman" w:cs="Times New Roman"/>
          <w:sz w:val="24"/>
        </w:rPr>
        <w:t>nlerin tartışılması</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Şer‘î ve örfî hukuk tartışmaları</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Memlükler dönemi usûlcülerinin mekâsıd-maslahat yöntemiyle ilgili tartışmaları</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Müteahhirûn döneminde Kelam - Felsefe etkileşimi ve bu etkileşimin Kelam tarihindeki yeri</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 xml:space="preserve">Geç dönem Mu’tezile - Ehli sünnet </w:t>
      </w:r>
      <w:r>
        <w:rPr>
          <w:rFonts w:ascii="Times New Roman" w:eastAsia="Times New Roman" w:hAnsi="Times New Roman" w:cs="Times New Roman"/>
          <w:sz w:val="24"/>
        </w:rPr>
        <w:t>etkileşimi</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Mutezile - Zeydiyye etkileşimi</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Tehâfüt geleneğinin Kelam ilmine yansımaları</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lastRenderedPageBreak/>
        <w:t>Kelam ilminde reddiye geleneği</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Kelam - Tasavvuf ilişkisi</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Kelamî paradigmanın teorik düzeyde yaşadığı değişim</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Kelam - siyaset ilişkisinin Kelam tarihindeki yeri</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Müteaahir</w:t>
      </w:r>
      <w:r>
        <w:rPr>
          <w:rFonts w:ascii="Times New Roman" w:eastAsia="Times New Roman" w:hAnsi="Times New Roman" w:cs="Times New Roman"/>
          <w:sz w:val="24"/>
        </w:rPr>
        <w:t>ûn dönem kelamcılarında siyaset algısı ve imamet anlayışı</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Kelam ilminde kelamın tümelleşme çabası ve teorik arayışlar</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Müteahhirûn döneminde din - siyaset ilişkisi</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Selçuklu, Eyyûbî, Memlük ve Osmanlı dönemi mezhebî hareketlilik</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 xml:space="preserve">Din - siyaset ilişkisi ve </w:t>
      </w:r>
      <w:r>
        <w:rPr>
          <w:rFonts w:ascii="Times New Roman" w:eastAsia="Times New Roman" w:hAnsi="Times New Roman" w:cs="Times New Roman"/>
          <w:sz w:val="24"/>
        </w:rPr>
        <w:t>ulemanın yönetim ile yöneticilere yönelik tutum ve eleştirileri</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Mezhepler arası reddiye kültürü</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Mezhep içi eleştiri ve reddiyeler</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Mezheplerde tarih yazıcılığı</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Ehl-i bid’at mezhepler</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Osmanlı siyaset düşüncesinde tasavvufun tezahürleri</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Tarikatlar döneminde f</w:t>
      </w:r>
      <w:r>
        <w:rPr>
          <w:rFonts w:ascii="Times New Roman" w:eastAsia="Times New Roman" w:hAnsi="Times New Roman" w:cs="Times New Roman"/>
          <w:sz w:val="24"/>
        </w:rPr>
        <w:t>arklı tarikat mensuplarının birlikte yaşama tecrübeleri</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Sûfî zümrelerin diğer ilmî muhitlerle ilişkileri</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Tasavvuf dışındaki İslamî ilimlere ait metinlerde (Felsefe, Kelam, Fıkıh vb.) Tasavvuf algısı</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Tasavvuf düşüncesi ve kurumları etrafında cereyan eden te</w:t>
      </w:r>
      <w:r>
        <w:rPr>
          <w:rFonts w:ascii="Times New Roman" w:eastAsia="Times New Roman" w:hAnsi="Times New Roman" w:cs="Times New Roman"/>
          <w:sz w:val="24"/>
        </w:rPr>
        <w:t>mel polemikler (vahdet-i vücud tartışmaları, sema-devran tartışmaları, Ortodoksi - Heterodoksi ikilemi)</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Dil ekolleri arasında eleştiri kültürüne dair örnekler</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Ebu’l-Alâ el-Ma’arrî’nin dönemin siyasilerine yönelttiği eleştiriler</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Abbasîler dönemi Arap edebiy</w:t>
      </w:r>
      <w:r>
        <w:rPr>
          <w:rFonts w:ascii="Times New Roman" w:eastAsia="Times New Roman" w:hAnsi="Times New Roman" w:cs="Times New Roman"/>
          <w:sz w:val="24"/>
        </w:rPr>
        <w:t>atında eleştiri kültürü</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Klasik Arap edebiyatı ile modern Arap edebiyatında eleştiri biliminin mukayesesi</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Türkiye’de klasik Arap edebiyatı alanında yapılmış çalışmalara eleştirel bir bakış</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Klasik dönem din eğitimi yöntemlerine eleştirel yaklaşım</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 xml:space="preserve">İslam </w:t>
      </w:r>
      <w:r>
        <w:rPr>
          <w:rFonts w:ascii="Times New Roman" w:eastAsia="Times New Roman" w:hAnsi="Times New Roman" w:cs="Times New Roman"/>
          <w:sz w:val="24"/>
        </w:rPr>
        <w:t>eğitim tarihinde münâzara ve cedel yöntemi</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Tanzimat dönemi eğitim anlayışına eleştirel yaklaşım</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Medreselerin gerileme nedenlerine eleştirel yaklaşım</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Osmanlı eğitim sisteminde modernleşme tartışmaları</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Klasik dönem Din eğitimi kitaplarına pedagojik ve eleşti</w:t>
      </w:r>
      <w:r>
        <w:rPr>
          <w:rFonts w:ascii="Times New Roman" w:eastAsia="Times New Roman" w:hAnsi="Times New Roman" w:cs="Times New Roman"/>
          <w:sz w:val="24"/>
        </w:rPr>
        <w:t>rel yaklaşım</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Dindar bireyin ötekine tahammülü</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Geçmişten günümüze dindarlık ve eleştiri kültürü</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Eleştirel düşünce ve dindarlık</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Bireyin popüler dinî söylemlere karşı eleştirel duruşu ve tahammülü</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Dindarlık eğilimleri ve tahammül ahlakı ilişkisi</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İslam felsefe</w:t>
      </w:r>
      <w:r>
        <w:rPr>
          <w:rFonts w:ascii="Times New Roman" w:eastAsia="Times New Roman" w:hAnsi="Times New Roman" w:cs="Times New Roman"/>
          <w:sz w:val="24"/>
        </w:rPr>
        <w:t>sinin tarihsel ve dinî kaynakları</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İslam düşüncesinin aklîleşme süreci ve felsefe çalışmaları</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Çeviri faaliyetlerinin İslam felsefesine katkıları</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İslam felsefesi mirasının eklektizmi ve özgünlüğü</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Batı düşüncesinde etkili olan İslam filozofları</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Âdâbu’l-bahs v</w:t>
      </w:r>
      <w:r>
        <w:rPr>
          <w:rFonts w:ascii="Times New Roman" w:eastAsia="Times New Roman" w:hAnsi="Times New Roman" w:cs="Times New Roman"/>
          <w:sz w:val="24"/>
        </w:rPr>
        <w:t>e’l-münâzara tartışmaları</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Dinî akıl yürütmelere mantıksal yöntemlerin tatbiki</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Erken dönem İslam düşüncesinde Mantık ilmine yönelik eleştiri nedenleri</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İslam düşünce geleneğinde bir savunu yöntemi olarak cedel</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Dil(ci)-Mantık(çı) tartışmaları ve Mantık ilmini</w:t>
      </w:r>
      <w:r>
        <w:rPr>
          <w:rFonts w:ascii="Times New Roman" w:eastAsia="Times New Roman" w:hAnsi="Times New Roman" w:cs="Times New Roman"/>
          <w:sz w:val="24"/>
        </w:rPr>
        <w:t>n İslam dünyasında kök salması</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İslam filozoflarında dinin felsefî yorumu</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lastRenderedPageBreak/>
        <w:t>Din-Felsefe münasebetine yönelik çalışmalar</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Tehâfüt geleneğinde akıl-vahiy değerlendirmeleri</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Felsefe-Kelam (Meşşâî-Gazzâlî) tartışmaları bağlamında dinin konumu</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İbn Rüşd’ün Batı dünya</w:t>
      </w:r>
      <w:r>
        <w:rPr>
          <w:rFonts w:ascii="Times New Roman" w:eastAsia="Times New Roman" w:hAnsi="Times New Roman" w:cs="Times New Roman"/>
          <w:sz w:val="24"/>
        </w:rPr>
        <w:t>sında gelişen felsefî düşünceye etkisi ve Latin İbn Rüşd’çülüğü</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İbn Haldûn’da din, tarih ve coğrafya</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Haçlı seferleri ve Moğol saldırıları ekseninde İslam tarihçilerinin Müslüman yöneticilere karşı tavırları</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Endülüs’te Murâbıtlar-Muvahhidler; Gırnata</w:t>
      </w:r>
      <w:r>
        <w:rPr>
          <w:rFonts w:ascii="Times New Roman" w:eastAsia="Times New Roman" w:hAnsi="Times New Roman" w:cs="Times New Roman"/>
          <w:sz w:val="24"/>
        </w:rPr>
        <w:t xml:space="preserve"> döneminde fikrî tartışmalar</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Fatımîler-Selçukîler - Eyyûbîler ve Memluklüler dönemlerinde fikrî ve mezhebî tartışmalar</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Ekber Şah’ın “din-i ilâhi” projesi ve Babürlüler</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Hilafetin Osmanlıya geçişi ve hilafet tartışmaları</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Kadızâdeliler-Sivâsîler çekişmesi (me</w:t>
      </w:r>
      <w:r>
        <w:rPr>
          <w:rFonts w:ascii="Times New Roman" w:eastAsia="Times New Roman" w:hAnsi="Times New Roman" w:cs="Times New Roman"/>
          <w:sz w:val="24"/>
        </w:rPr>
        <w:t>drese-tekke karşıtlığı)</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Safevîler-Osmanlılar çekişmesinin ulemâ nezdindeki yansımaları</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Batı hâkimiyetinin yayılması ve İslâm dünyasında ilk tepkiler</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İlk Türk-İslam edebiyatı eserlerinde tenkit</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Divan edebiyatında şairler ve edebî çevreler arasında eleştiri</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Tezkirelerde eleştiri kültürü</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Divan edebiyatında şahıs ve toplum eleştirisi</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Tasavvuf-tekke edebiyatına yönelik eleştiriler ve savunular</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Hiciv-eleştiri ilişkisi</w:t>
      </w:r>
    </w:p>
    <w:p w:rsidR="00454299" w:rsidRDefault="00C91E69">
      <w:pPr>
        <w:numPr>
          <w:ilvl w:val="0"/>
          <w:numId w:val="2"/>
        </w:numPr>
        <w:spacing w:after="23" w:line="249" w:lineRule="auto"/>
        <w:ind w:hanging="500"/>
        <w:jc w:val="both"/>
      </w:pPr>
      <w:r>
        <w:rPr>
          <w:rFonts w:ascii="Times New Roman" w:eastAsia="Times New Roman" w:hAnsi="Times New Roman" w:cs="Times New Roman"/>
          <w:sz w:val="24"/>
        </w:rPr>
        <w:t>Türk musikîsinde nazariyât tartışmaları</w:t>
      </w:r>
    </w:p>
    <w:p w:rsidR="00454299" w:rsidRDefault="00C91E69">
      <w:pPr>
        <w:numPr>
          <w:ilvl w:val="0"/>
          <w:numId w:val="2"/>
        </w:numPr>
        <w:spacing w:after="420" w:line="249" w:lineRule="auto"/>
        <w:ind w:hanging="500"/>
        <w:jc w:val="both"/>
      </w:pPr>
      <w:r>
        <w:rPr>
          <w:rFonts w:ascii="Times New Roman" w:eastAsia="Times New Roman" w:hAnsi="Times New Roman" w:cs="Times New Roman"/>
          <w:sz w:val="24"/>
        </w:rPr>
        <w:t>Türk mûsikîsinde “edvâr geleneği” bağlamında mûsikî tart</w:t>
      </w:r>
      <w:r>
        <w:rPr>
          <w:rFonts w:ascii="Times New Roman" w:eastAsia="Times New Roman" w:hAnsi="Times New Roman" w:cs="Times New Roman"/>
          <w:sz w:val="24"/>
        </w:rPr>
        <w:t>ışmaları</w:t>
      </w:r>
    </w:p>
    <w:p w:rsidR="00454299" w:rsidRDefault="00C91E69">
      <w:pPr>
        <w:spacing w:after="246" w:line="265" w:lineRule="auto"/>
        <w:ind w:left="-5" w:hanging="10"/>
      </w:pPr>
      <w:r>
        <w:rPr>
          <w:rFonts w:ascii="Times New Roman" w:eastAsia="Times New Roman" w:hAnsi="Times New Roman" w:cs="Times New Roman"/>
          <w:b/>
          <w:sz w:val="24"/>
        </w:rPr>
        <w:t>YAZIM KURALLARI</w:t>
      </w:r>
    </w:p>
    <w:p w:rsidR="00454299" w:rsidRDefault="00C91E69">
      <w:pPr>
        <w:spacing w:after="276" w:line="238" w:lineRule="auto"/>
        <w:ind w:right="488"/>
      </w:pPr>
      <w:r>
        <w:rPr>
          <w:rFonts w:ascii="Times New Roman" w:eastAsia="Times New Roman" w:hAnsi="Times New Roman" w:cs="Times New Roman"/>
          <w:sz w:val="24"/>
        </w:rPr>
        <w:t xml:space="preserve">Sempozyuma gönderilecek tebliğlerin dipnot ve kaynakça kısmında İSNAD yazım sisteminin sayfa altı dipnot kuralları  esas alınacaktır.  Metin  içi  atıf  sistemi  (APA)  kullanılmayacaktır. </w:t>
      </w:r>
      <w:hyperlink r:id="rId7">
        <w:r>
          <w:rPr>
            <w:rFonts w:ascii="Times New Roman" w:eastAsia="Times New Roman" w:hAnsi="Times New Roman" w:cs="Times New Roman"/>
            <w:i/>
            <w:color w:val="222222"/>
            <w:sz w:val="24"/>
            <w:u w:val="single" w:color="222222"/>
          </w:rPr>
          <w:t>http://www.isnadsistemi.org/guide/</w:t>
        </w:r>
      </w:hyperlink>
    </w:p>
    <w:p w:rsidR="00454299" w:rsidRDefault="00C91E69">
      <w:pPr>
        <w:spacing w:after="0"/>
        <w:ind w:left="-5" w:hanging="10"/>
      </w:pPr>
      <w:r>
        <w:rPr>
          <w:rFonts w:ascii="Times New Roman" w:eastAsia="Times New Roman" w:hAnsi="Times New Roman" w:cs="Times New Roman"/>
          <w:b/>
          <w:sz w:val="24"/>
        </w:rPr>
        <w:t>ÖNEMLİ TARİHLER</w:t>
      </w:r>
    </w:p>
    <w:tbl>
      <w:tblPr>
        <w:tblStyle w:val="TableGrid"/>
        <w:tblW w:w="8944" w:type="dxa"/>
        <w:tblInd w:w="62" w:type="dxa"/>
        <w:tblCellMar>
          <w:top w:w="48" w:type="dxa"/>
          <w:left w:w="436" w:type="dxa"/>
          <w:bottom w:w="0" w:type="dxa"/>
          <w:right w:w="96" w:type="dxa"/>
        </w:tblCellMar>
        <w:tblLook w:val="04A0" w:firstRow="1" w:lastRow="0" w:firstColumn="1" w:lastColumn="0" w:noHBand="0" w:noVBand="1"/>
      </w:tblPr>
      <w:tblGrid>
        <w:gridCol w:w="5200"/>
        <w:gridCol w:w="3744"/>
      </w:tblGrid>
      <w:tr w:rsidR="00454299">
        <w:trPr>
          <w:trHeight w:val="352"/>
        </w:trPr>
        <w:tc>
          <w:tcPr>
            <w:tcW w:w="5200" w:type="dxa"/>
            <w:tcBorders>
              <w:top w:val="single" w:sz="8" w:space="0" w:color="000000"/>
              <w:left w:val="single" w:sz="8" w:space="0" w:color="000000"/>
              <w:bottom w:val="single" w:sz="8" w:space="0" w:color="000000"/>
              <w:right w:val="single" w:sz="8" w:space="0" w:color="000000"/>
            </w:tcBorders>
          </w:tcPr>
          <w:p w:rsidR="00454299" w:rsidRDefault="00C91E69">
            <w:pPr>
              <w:spacing w:after="0"/>
            </w:pPr>
            <w:r>
              <w:rPr>
                <w:rFonts w:ascii="Times New Roman" w:eastAsia="Times New Roman" w:hAnsi="Times New Roman" w:cs="Times New Roman"/>
                <w:sz w:val="24"/>
              </w:rPr>
              <w:t>Bildiri özetlerinin son gönderilme tarihi</w:t>
            </w:r>
          </w:p>
        </w:tc>
        <w:tc>
          <w:tcPr>
            <w:tcW w:w="3744" w:type="dxa"/>
            <w:tcBorders>
              <w:top w:val="single" w:sz="8" w:space="0" w:color="000000"/>
              <w:left w:val="single" w:sz="8" w:space="0" w:color="000000"/>
              <w:bottom w:val="single" w:sz="8" w:space="0" w:color="000000"/>
              <w:right w:val="single" w:sz="8" w:space="0" w:color="000000"/>
            </w:tcBorders>
          </w:tcPr>
          <w:p w:rsidR="00454299" w:rsidRDefault="00C91E69">
            <w:pPr>
              <w:spacing w:after="0"/>
              <w:jc w:val="right"/>
            </w:pPr>
            <w:r>
              <w:rPr>
                <w:rFonts w:ascii="Times New Roman" w:eastAsia="Times New Roman" w:hAnsi="Times New Roman" w:cs="Times New Roman"/>
                <w:sz w:val="24"/>
              </w:rPr>
              <w:t>14 Mart 2021</w:t>
            </w:r>
          </w:p>
        </w:tc>
      </w:tr>
      <w:tr w:rsidR="00454299">
        <w:trPr>
          <w:trHeight w:val="295"/>
        </w:trPr>
        <w:tc>
          <w:tcPr>
            <w:tcW w:w="5200" w:type="dxa"/>
            <w:tcBorders>
              <w:top w:val="single" w:sz="8" w:space="0" w:color="000000"/>
              <w:left w:val="single" w:sz="8" w:space="0" w:color="000000"/>
              <w:bottom w:val="single" w:sz="8" w:space="0" w:color="000000"/>
              <w:right w:val="single" w:sz="8" w:space="0" w:color="000000"/>
            </w:tcBorders>
          </w:tcPr>
          <w:p w:rsidR="00454299" w:rsidRDefault="00C91E69">
            <w:pPr>
              <w:spacing w:after="0"/>
            </w:pPr>
            <w:r>
              <w:rPr>
                <w:rFonts w:ascii="Times New Roman" w:eastAsia="Times New Roman" w:hAnsi="Times New Roman" w:cs="Times New Roman"/>
                <w:sz w:val="24"/>
              </w:rPr>
              <w:t>Kabul edilen özetlerin ilan tarihi</w:t>
            </w:r>
          </w:p>
        </w:tc>
        <w:tc>
          <w:tcPr>
            <w:tcW w:w="3744" w:type="dxa"/>
            <w:tcBorders>
              <w:top w:val="single" w:sz="8" w:space="0" w:color="000000"/>
              <w:left w:val="single" w:sz="8" w:space="0" w:color="000000"/>
              <w:bottom w:val="single" w:sz="8" w:space="0" w:color="000000"/>
              <w:right w:val="single" w:sz="8" w:space="0" w:color="000000"/>
            </w:tcBorders>
          </w:tcPr>
          <w:p w:rsidR="00454299" w:rsidRDefault="00C91E69">
            <w:pPr>
              <w:spacing w:after="0"/>
              <w:jc w:val="right"/>
            </w:pPr>
            <w:r>
              <w:rPr>
                <w:rFonts w:ascii="Times New Roman" w:eastAsia="Times New Roman" w:hAnsi="Times New Roman" w:cs="Times New Roman"/>
                <w:sz w:val="24"/>
              </w:rPr>
              <w:t>21 Mart 2021</w:t>
            </w:r>
          </w:p>
        </w:tc>
      </w:tr>
      <w:tr w:rsidR="00454299">
        <w:trPr>
          <w:trHeight w:val="295"/>
        </w:trPr>
        <w:tc>
          <w:tcPr>
            <w:tcW w:w="5200" w:type="dxa"/>
            <w:tcBorders>
              <w:top w:val="single" w:sz="8" w:space="0" w:color="000000"/>
              <w:left w:val="single" w:sz="8" w:space="0" w:color="000000"/>
              <w:bottom w:val="single" w:sz="8" w:space="0" w:color="000000"/>
              <w:right w:val="single" w:sz="8" w:space="0" w:color="000000"/>
            </w:tcBorders>
          </w:tcPr>
          <w:p w:rsidR="00454299" w:rsidRDefault="00C91E69">
            <w:pPr>
              <w:spacing w:after="0"/>
              <w:ind w:right="236"/>
              <w:jc w:val="center"/>
            </w:pPr>
            <w:r>
              <w:rPr>
                <w:rFonts w:ascii="Times New Roman" w:eastAsia="Times New Roman" w:hAnsi="Times New Roman" w:cs="Times New Roman"/>
                <w:sz w:val="24"/>
              </w:rPr>
              <w:t>Tam bildiri metinlerinin son gönderilme tarihi</w:t>
            </w:r>
          </w:p>
        </w:tc>
        <w:tc>
          <w:tcPr>
            <w:tcW w:w="3744" w:type="dxa"/>
            <w:tcBorders>
              <w:top w:val="single" w:sz="8" w:space="0" w:color="000000"/>
              <w:left w:val="single" w:sz="8" w:space="0" w:color="000000"/>
              <w:bottom w:val="single" w:sz="8" w:space="0" w:color="000000"/>
              <w:right w:val="single" w:sz="8" w:space="0" w:color="000000"/>
            </w:tcBorders>
          </w:tcPr>
          <w:p w:rsidR="00454299" w:rsidRDefault="00C91E69">
            <w:pPr>
              <w:spacing w:after="0"/>
              <w:jc w:val="right"/>
            </w:pPr>
            <w:r>
              <w:rPr>
                <w:rFonts w:ascii="Times New Roman" w:eastAsia="Times New Roman" w:hAnsi="Times New Roman" w:cs="Times New Roman"/>
                <w:sz w:val="24"/>
              </w:rPr>
              <w:t>9 Mayıs 2021</w:t>
            </w:r>
          </w:p>
        </w:tc>
      </w:tr>
      <w:tr w:rsidR="00454299">
        <w:trPr>
          <w:trHeight w:val="295"/>
        </w:trPr>
        <w:tc>
          <w:tcPr>
            <w:tcW w:w="5200" w:type="dxa"/>
            <w:tcBorders>
              <w:top w:val="single" w:sz="8" w:space="0" w:color="000000"/>
              <w:left w:val="single" w:sz="8" w:space="0" w:color="000000"/>
              <w:bottom w:val="single" w:sz="8" w:space="0" w:color="000000"/>
              <w:right w:val="single" w:sz="8" w:space="0" w:color="000000"/>
            </w:tcBorders>
          </w:tcPr>
          <w:p w:rsidR="00454299" w:rsidRDefault="00C91E69">
            <w:pPr>
              <w:spacing w:after="0"/>
            </w:pPr>
            <w:r>
              <w:rPr>
                <w:rFonts w:ascii="Times New Roman" w:eastAsia="Times New Roman" w:hAnsi="Times New Roman" w:cs="Times New Roman"/>
                <w:sz w:val="24"/>
              </w:rPr>
              <w:t>Sempozyum tarihi</w:t>
            </w:r>
          </w:p>
        </w:tc>
        <w:tc>
          <w:tcPr>
            <w:tcW w:w="3744" w:type="dxa"/>
            <w:tcBorders>
              <w:top w:val="single" w:sz="8" w:space="0" w:color="000000"/>
              <w:left w:val="single" w:sz="8" w:space="0" w:color="000000"/>
              <w:bottom w:val="single" w:sz="8" w:space="0" w:color="000000"/>
              <w:right w:val="single" w:sz="8" w:space="0" w:color="000000"/>
            </w:tcBorders>
          </w:tcPr>
          <w:p w:rsidR="00454299" w:rsidRDefault="00C91E69">
            <w:pPr>
              <w:spacing w:after="0"/>
              <w:jc w:val="right"/>
            </w:pPr>
            <w:r>
              <w:rPr>
                <w:rFonts w:ascii="Times New Roman" w:eastAsia="Times New Roman" w:hAnsi="Times New Roman" w:cs="Times New Roman"/>
                <w:sz w:val="24"/>
              </w:rPr>
              <w:t xml:space="preserve">28-29 </w:t>
            </w:r>
            <w:r>
              <w:rPr>
                <w:rFonts w:ascii="Times New Roman" w:eastAsia="Times New Roman" w:hAnsi="Times New Roman" w:cs="Times New Roman"/>
                <w:sz w:val="24"/>
              </w:rPr>
              <w:t>Mayıs 2021</w:t>
            </w:r>
          </w:p>
        </w:tc>
      </w:tr>
    </w:tbl>
    <w:p w:rsidR="00454299" w:rsidRDefault="00C91E69">
      <w:pPr>
        <w:spacing w:after="281"/>
        <w:ind w:left="-5" w:hanging="10"/>
      </w:pPr>
      <w:r>
        <w:rPr>
          <w:rFonts w:ascii="Times New Roman" w:eastAsia="Times New Roman" w:hAnsi="Times New Roman" w:cs="Times New Roman"/>
          <w:b/>
          <w:sz w:val="24"/>
        </w:rPr>
        <w:t>İLETİŞİM</w:t>
      </w:r>
    </w:p>
    <w:p w:rsidR="00454299" w:rsidRDefault="00C91E69">
      <w:pPr>
        <w:tabs>
          <w:tab w:val="center" w:pos="5324"/>
        </w:tabs>
        <w:spacing w:after="23" w:line="249" w:lineRule="auto"/>
      </w:pPr>
      <w:r>
        <w:rPr>
          <w:rFonts w:ascii="Times New Roman" w:eastAsia="Times New Roman" w:hAnsi="Times New Roman" w:cs="Times New Roman"/>
          <w:b/>
          <w:sz w:val="24"/>
        </w:rPr>
        <w:t>Adres</w:t>
      </w:r>
      <w:r>
        <w:rPr>
          <w:rFonts w:ascii="Times New Roman" w:eastAsia="Times New Roman" w:hAnsi="Times New Roman" w:cs="Times New Roman"/>
          <w:b/>
          <w:sz w:val="24"/>
        </w:rPr>
        <w:tab/>
      </w:r>
      <w:r>
        <w:rPr>
          <w:rFonts w:ascii="Times New Roman" w:eastAsia="Times New Roman" w:hAnsi="Times New Roman" w:cs="Times New Roman"/>
          <w:sz w:val="24"/>
        </w:rPr>
        <w:t>: Muş Alparslan Üniversitesi Külliyesi, 49250 Güzeltepe/MUŞ</w:t>
      </w:r>
    </w:p>
    <w:p w:rsidR="00454299" w:rsidRDefault="00C91E69">
      <w:pPr>
        <w:tabs>
          <w:tab w:val="center" w:pos="4139"/>
        </w:tabs>
        <w:spacing w:after="12"/>
        <w:ind w:left="-15"/>
      </w:pPr>
      <w:r>
        <w:rPr>
          <w:rFonts w:ascii="Times New Roman" w:eastAsia="Times New Roman" w:hAnsi="Times New Roman" w:cs="Times New Roman"/>
          <w:b/>
          <w:sz w:val="24"/>
        </w:rPr>
        <w:t>E-posta</w:t>
      </w: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r>
        <w:rPr>
          <w:rFonts w:ascii="Times New Roman" w:eastAsia="Times New Roman" w:hAnsi="Times New Roman" w:cs="Times New Roman"/>
          <w:color w:val="0000FF"/>
          <w:sz w:val="24"/>
          <w:u w:val="single" w:color="0000FF"/>
        </w:rPr>
        <w:t>elestirivetahammul@alparslan.edu.tr</w:t>
      </w:r>
      <w:r>
        <w:rPr>
          <w:rFonts w:ascii="Times New Roman" w:eastAsia="Times New Roman" w:hAnsi="Times New Roman" w:cs="Times New Roman"/>
          <w:color w:val="0000FF"/>
          <w:sz w:val="24"/>
        </w:rPr>
        <w:t xml:space="preserve"> </w:t>
      </w:r>
    </w:p>
    <w:p w:rsidR="00454299" w:rsidRDefault="00C91E69">
      <w:pPr>
        <w:tabs>
          <w:tab w:val="center" w:pos="4379"/>
        </w:tabs>
        <w:spacing w:after="12"/>
        <w:ind w:left="-15"/>
      </w:pPr>
      <w:r>
        <w:rPr>
          <w:rFonts w:ascii="Times New Roman" w:eastAsia="Times New Roman" w:hAnsi="Times New Roman" w:cs="Times New Roman"/>
          <w:b/>
          <w:sz w:val="24"/>
        </w:rPr>
        <w:t>Web</w:t>
      </w: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hyperlink r:id="rId8">
        <w:r>
          <w:rPr>
            <w:rFonts w:ascii="Times New Roman" w:eastAsia="Times New Roman" w:hAnsi="Times New Roman" w:cs="Times New Roman"/>
            <w:color w:val="0000FF"/>
            <w:sz w:val="24"/>
            <w:u w:val="single" w:color="0000FF"/>
          </w:rPr>
          <w:t>http://elestirivetahammul.alparslan.edu.tr/</w:t>
        </w:r>
      </w:hyperlink>
      <w:hyperlink r:id="rId9">
        <w:r>
          <w:rPr>
            <w:rFonts w:ascii="Times New Roman" w:eastAsia="Times New Roman" w:hAnsi="Times New Roman" w:cs="Times New Roman"/>
            <w:color w:val="0000FF"/>
            <w:sz w:val="24"/>
          </w:rPr>
          <w:t xml:space="preserve"> </w:t>
        </w:r>
      </w:hyperlink>
    </w:p>
    <w:p w:rsidR="00454299" w:rsidRDefault="00C91E69">
      <w:pPr>
        <w:tabs>
          <w:tab w:val="center" w:pos="3116"/>
        </w:tabs>
        <w:spacing w:after="23" w:line="249" w:lineRule="auto"/>
      </w:pPr>
      <w:r>
        <w:rPr>
          <w:rFonts w:ascii="Times New Roman" w:eastAsia="Times New Roman" w:hAnsi="Times New Roman" w:cs="Times New Roman"/>
          <w:b/>
          <w:sz w:val="24"/>
        </w:rPr>
        <w:t>Telefon</w:t>
      </w:r>
      <w:r>
        <w:rPr>
          <w:rFonts w:ascii="Times New Roman" w:eastAsia="Times New Roman" w:hAnsi="Times New Roman" w:cs="Times New Roman"/>
          <w:b/>
          <w:sz w:val="24"/>
        </w:rPr>
        <w:tab/>
        <w:t xml:space="preserve">  </w:t>
      </w:r>
      <w:r>
        <w:rPr>
          <w:rFonts w:ascii="Times New Roman" w:eastAsia="Times New Roman" w:hAnsi="Times New Roman" w:cs="Times New Roman"/>
          <w:sz w:val="24"/>
        </w:rPr>
        <w:t>0436 249 18 50</w:t>
      </w:r>
    </w:p>
    <w:p w:rsidR="00454299" w:rsidRDefault="00C91E69">
      <w:pPr>
        <w:tabs>
          <w:tab w:val="center" w:pos="2613"/>
        </w:tabs>
        <w:spacing w:after="532" w:line="265" w:lineRule="auto"/>
        <w:ind w:left="-15"/>
      </w:pPr>
      <w:r>
        <w:rPr>
          <w:rFonts w:ascii="Times New Roman" w:eastAsia="Times New Roman" w:hAnsi="Times New Roman" w:cs="Times New Roman"/>
          <w:b/>
          <w:sz w:val="24"/>
        </w:rPr>
        <w:t>Dâhili</w:t>
      </w:r>
      <w:r>
        <w:rPr>
          <w:rFonts w:ascii="Times New Roman" w:eastAsia="Times New Roman" w:hAnsi="Times New Roman" w:cs="Times New Roman"/>
          <w:b/>
          <w:sz w:val="24"/>
        </w:rPr>
        <w:tab/>
        <w:t xml:space="preserve">  </w:t>
      </w:r>
      <w:r>
        <w:rPr>
          <w:rFonts w:ascii="Times New Roman" w:eastAsia="Times New Roman" w:hAnsi="Times New Roman" w:cs="Times New Roman"/>
          <w:sz w:val="24"/>
        </w:rPr>
        <w:t>1850</w:t>
      </w:r>
    </w:p>
    <w:p w:rsidR="00454299" w:rsidRDefault="00C91E69">
      <w:pPr>
        <w:spacing w:after="353" w:line="265" w:lineRule="auto"/>
        <w:ind w:left="-5" w:hanging="10"/>
      </w:pPr>
      <w:r>
        <w:rPr>
          <w:rFonts w:ascii="Times New Roman" w:eastAsia="Times New Roman" w:hAnsi="Times New Roman" w:cs="Times New Roman"/>
          <w:b/>
          <w:sz w:val="24"/>
        </w:rPr>
        <w:t>SEKRETERYA</w:t>
      </w:r>
      <w:r>
        <w:rPr>
          <w:rFonts w:ascii="Times New Roman" w:eastAsia="Times New Roman" w:hAnsi="Times New Roman" w:cs="Times New Roman"/>
          <w:sz w:val="24"/>
        </w:rPr>
        <w:t>:</w:t>
      </w:r>
    </w:p>
    <w:p w:rsidR="00454299" w:rsidRDefault="00C91E69">
      <w:pPr>
        <w:tabs>
          <w:tab w:val="center" w:pos="6071"/>
        </w:tabs>
        <w:spacing w:after="61" w:line="249" w:lineRule="auto"/>
      </w:pPr>
      <w:r>
        <w:rPr>
          <w:rFonts w:ascii="Times New Roman" w:eastAsia="Times New Roman" w:hAnsi="Times New Roman" w:cs="Times New Roman"/>
          <w:sz w:val="24"/>
        </w:rPr>
        <w:lastRenderedPageBreak/>
        <w:t xml:space="preserve">Arş. Gör. Emrah BAŞ           </w:t>
      </w:r>
      <w:r>
        <w:rPr>
          <w:rFonts w:ascii="Times New Roman" w:eastAsia="Times New Roman" w:hAnsi="Times New Roman" w:cs="Times New Roman"/>
          <w:sz w:val="24"/>
        </w:rPr>
        <w:tab/>
        <w:t>tel: 0539 479 18 67</w:t>
      </w:r>
    </w:p>
    <w:p w:rsidR="00454299" w:rsidRDefault="00C91E69">
      <w:pPr>
        <w:tabs>
          <w:tab w:val="center" w:pos="6071"/>
        </w:tabs>
        <w:spacing w:after="23" w:line="249" w:lineRule="auto"/>
      </w:pPr>
      <w:r>
        <w:rPr>
          <w:rFonts w:ascii="Times New Roman" w:eastAsia="Times New Roman" w:hAnsi="Times New Roman" w:cs="Times New Roman"/>
          <w:sz w:val="24"/>
        </w:rPr>
        <w:t>Arş. Gör. Şüheda Belkıs BARAK</w:t>
      </w:r>
      <w:r>
        <w:rPr>
          <w:rFonts w:ascii="Times New Roman" w:eastAsia="Times New Roman" w:hAnsi="Times New Roman" w:cs="Times New Roman"/>
          <w:sz w:val="24"/>
        </w:rPr>
        <w:tab/>
        <w:t>tel: 0549 326 54 83</w:t>
      </w:r>
    </w:p>
    <w:sectPr w:rsidR="00454299">
      <w:footerReference w:type="even" r:id="rId10"/>
      <w:footerReference w:type="default" r:id="rId11"/>
      <w:footerReference w:type="first" r:id="rId12"/>
      <w:pgSz w:w="11910" w:h="16840"/>
      <w:pgMar w:top="1192" w:right="567" w:bottom="586" w:left="993" w:header="708"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E69" w:rsidRDefault="00C91E69">
      <w:pPr>
        <w:spacing w:after="0" w:line="240" w:lineRule="auto"/>
      </w:pPr>
      <w:r>
        <w:separator/>
      </w:r>
    </w:p>
  </w:endnote>
  <w:endnote w:type="continuationSeparator" w:id="0">
    <w:p w:rsidR="00C91E69" w:rsidRDefault="00C91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299" w:rsidRDefault="0045429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299" w:rsidRDefault="0045429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299" w:rsidRDefault="004542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E69" w:rsidRDefault="00C91E69">
      <w:pPr>
        <w:spacing w:after="0" w:line="240" w:lineRule="auto"/>
      </w:pPr>
      <w:r>
        <w:separator/>
      </w:r>
    </w:p>
  </w:footnote>
  <w:footnote w:type="continuationSeparator" w:id="0">
    <w:p w:rsidR="00C91E69" w:rsidRDefault="00C91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405D"/>
    <w:multiLevelType w:val="hybridMultilevel"/>
    <w:tmpl w:val="F49CA0F4"/>
    <w:lvl w:ilvl="0" w:tplc="1F0EB30A">
      <w:start w:val="1"/>
      <w:numFmt w:val="decimal"/>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1ACAD6">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889790">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8EAAC4">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27222">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B4E588">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96594A">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A87CDA">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48B0B0">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49E139D"/>
    <w:multiLevelType w:val="hybridMultilevel"/>
    <w:tmpl w:val="2FF638D2"/>
    <w:lvl w:ilvl="0" w:tplc="518E4584">
      <w:start w:val="1"/>
      <w:numFmt w:val="decimal"/>
      <w:lvlText w:val="%1-"/>
      <w:lvlJc w:val="left"/>
      <w:pPr>
        <w:ind w:left="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D86610">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3AA5DA">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663BE2">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B0BFA0">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CAF044">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546D7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1CFD0A">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7C8E06">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99"/>
    <w:rsid w:val="00454299"/>
    <w:rsid w:val="009B10DD"/>
    <w:rsid w:val="00C91E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9C4E4-D5C4-426D-A033-D3B638E2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spacing w:after="293"/>
      <w:ind w:left="3192"/>
      <w:jc w:val="right"/>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lestirivetahammul.alparslan.edu.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nadsistemi.org/guid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lestirivetahammul.alparslan.edu.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10350</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Sempozyum Duyurusu 3</dc:subject>
  <dc:creator>enVision Document &amp; Workflow Management System</dc:creator>
  <cp:keywords/>
  <cp:lastModifiedBy>User</cp:lastModifiedBy>
  <cp:revision>2</cp:revision>
  <dcterms:created xsi:type="dcterms:W3CDTF">2021-03-10T08:18:00Z</dcterms:created>
  <dcterms:modified xsi:type="dcterms:W3CDTF">2021-03-10T08:18:00Z</dcterms:modified>
</cp:coreProperties>
</file>