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7F36C1" w:rsidP="005B0C52">
                <w:pPr>
                  <w:pStyle w:val="AralkYok"/>
                  <w:rPr>
                    <w:rFonts w:ascii="Cambria" w:hAnsi="Cambria"/>
                    <w:b/>
                    <w:bCs/>
                    <w:sz w:val="24"/>
                  </w:rPr>
                </w:pPr>
                <w:r>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4C1B22" w:rsidP="005B0C52">
            <w:pPr>
              <w:pStyle w:val="AralkYok"/>
              <w:rPr>
                <w:rFonts w:ascii="Cambria" w:hAnsi="Cambria"/>
                <w:b/>
                <w:bCs/>
                <w:color w:val="002060"/>
                <w:sz w:val="24"/>
              </w:rPr>
            </w:pPr>
            <w:r>
              <w:rPr>
                <w:rFonts w:ascii="Cambria" w:hAnsi="Cambria"/>
                <w:b/>
                <w:bCs/>
                <w:color w:val="002060"/>
                <w:sz w:val="24"/>
              </w:rPr>
              <w:t>Lisansüstü Eğitim ve Öğretim Yönetmeliği</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9A0B72" w:rsidRPr="00421A69" w:rsidRDefault="009A0B72" w:rsidP="00421A69">
            <w:pPr>
              <w:spacing w:after="0" w:line="240" w:lineRule="atLeast"/>
              <w:jc w:val="both"/>
              <w:rPr>
                <w:rFonts w:ascii="Cambria" w:hAnsi="Cambria"/>
                <w:bCs/>
              </w:rPr>
            </w:pPr>
          </w:p>
          <w:p w:rsidR="00421A69" w:rsidRPr="00421A69" w:rsidRDefault="00421A69" w:rsidP="00421A69">
            <w:pPr>
              <w:spacing w:after="0" w:line="240" w:lineRule="atLeast"/>
              <w:jc w:val="both"/>
              <w:rPr>
                <w:rFonts w:ascii="Cambria" w:hAnsi="Cambria"/>
                <w:bCs/>
              </w:rPr>
            </w:pPr>
          </w:p>
          <w:p w:rsidR="00421A69" w:rsidRPr="00421A69" w:rsidRDefault="00421A69" w:rsidP="00421A69">
            <w:pPr>
              <w:spacing w:after="0" w:line="240" w:lineRule="atLeast"/>
              <w:jc w:val="both"/>
              <w:rPr>
                <w:rFonts w:ascii="Cambria" w:hAnsi="Cambria"/>
                <w:bCs/>
              </w:rPr>
            </w:pPr>
          </w:p>
          <w:p w:rsidR="00421A69" w:rsidRPr="00421A69" w:rsidRDefault="00421A69" w:rsidP="00421A69">
            <w:pPr>
              <w:spacing w:after="0" w:line="240" w:lineRule="atLeast"/>
              <w:jc w:val="both"/>
              <w:rPr>
                <w:rFonts w:ascii="Cambria" w:hAnsi="Cambria"/>
                <w:b/>
                <w:bCs/>
                <w:color w:val="FF0000"/>
              </w:rPr>
            </w:pPr>
          </w:p>
          <w:p w:rsidR="00421A69" w:rsidRPr="00421A69" w:rsidRDefault="00421A69" w:rsidP="00421A69">
            <w:pPr>
              <w:spacing w:after="0" w:line="240" w:lineRule="atLeast"/>
              <w:jc w:val="both"/>
              <w:rPr>
                <w:rFonts w:ascii="Cambria" w:hAnsi="Cambria"/>
                <w:b/>
                <w:bCs/>
                <w:color w:val="FF0000"/>
              </w:rPr>
            </w:pPr>
          </w:p>
          <w:p w:rsidR="00C80343" w:rsidRDefault="00C80343" w:rsidP="00421A69">
            <w:pPr>
              <w:spacing w:after="0" w:line="240" w:lineRule="atLeast"/>
              <w:jc w:val="both"/>
              <w:rPr>
                <w:rFonts w:ascii="Cambria" w:hAnsi="Cambria"/>
                <w:b/>
                <w:bCs/>
                <w:color w:val="FF0000"/>
              </w:rPr>
            </w:pPr>
          </w:p>
          <w:p w:rsidR="00C80343" w:rsidRDefault="00C80343" w:rsidP="00421A69">
            <w:pPr>
              <w:spacing w:after="0" w:line="240" w:lineRule="atLeast"/>
              <w:jc w:val="both"/>
              <w:rPr>
                <w:rFonts w:ascii="Cambria" w:hAnsi="Cambria"/>
                <w:b/>
                <w:bCs/>
                <w:color w:val="FF0000"/>
              </w:rPr>
            </w:pPr>
          </w:p>
          <w:p w:rsidR="00C80343" w:rsidRDefault="00C80343" w:rsidP="00421A69">
            <w:pPr>
              <w:spacing w:after="0" w:line="240" w:lineRule="atLeast"/>
              <w:jc w:val="both"/>
              <w:rPr>
                <w:rFonts w:ascii="Cambria" w:hAnsi="Cambria"/>
                <w:b/>
                <w:bCs/>
                <w:color w:val="FF0000"/>
              </w:rPr>
            </w:pPr>
          </w:p>
          <w:p w:rsidR="00421A69" w:rsidRPr="00421A69" w:rsidRDefault="00421A69" w:rsidP="00421A69">
            <w:pPr>
              <w:spacing w:after="0" w:line="240" w:lineRule="atLeast"/>
              <w:jc w:val="both"/>
              <w:rPr>
                <w:rFonts w:ascii="Cambria" w:hAnsi="Cambria"/>
                <w:b/>
                <w:bCs/>
              </w:rPr>
            </w:pPr>
            <w:bookmarkStart w:id="0" w:name="_GoBack"/>
            <w:bookmarkEnd w:id="0"/>
            <w:r w:rsidRPr="00421A69">
              <w:rPr>
                <w:rFonts w:ascii="Cambria" w:hAnsi="Cambria"/>
                <w:b/>
                <w:bCs/>
                <w:color w:val="FF0000"/>
              </w:rPr>
              <w:t>Ek fıkra eklenmesi</w:t>
            </w:r>
          </w:p>
        </w:tc>
        <w:tc>
          <w:tcPr>
            <w:tcW w:w="7280" w:type="dxa"/>
          </w:tcPr>
          <w:p w:rsidR="00421A69" w:rsidRPr="00421A69" w:rsidRDefault="00421A69" w:rsidP="00421A69">
            <w:pPr>
              <w:spacing w:after="0" w:line="240" w:lineRule="auto"/>
              <w:jc w:val="both"/>
              <w:rPr>
                <w:rFonts w:ascii="Cambria" w:eastAsia="Times New Roman" w:hAnsi="Cambria" w:cs="Times New Roman"/>
                <w:color w:val="000000"/>
                <w:lang w:eastAsia="tr-TR"/>
              </w:rPr>
            </w:pPr>
            <w:r w:rsidRPr="00421A69">
              <w:rPr>
                <w:rFonts w:ascii="Cambria" w:eastAsia="Times New Roman" w:hAnsi="Cambria" w:cs="Times New Roman"/>
                <w:b/>
                <w:bCs/>
                <w:color w:val="000000"/>
                <w:lang w:eastAsia="tr-TR"/>
              </w:rPr>
              <w:t>Başvuru ve kabul</w:t>
            </w:r>
          </w:p>
          <w:p w:rsidR="00421A69" w:rsidRPr="00421A69" w:rsidRDefault="00421A69" w:rsidP="00421A69">
            <w:pPr>
              <w:pStyle w:val="metin"/>
              <w:spacing w:before="0" w:beforeAutospacing="0" w:after="0" w:afterAutospacing="0" w:line="240" w:lineRule="atLeast"/>
              <w:jc w:val="both"/>
              <w:rPr>
                <w:rFonts w:ascii="Cambria" w:hAnsi="Cambria"/>
                <w:b/>
                <w:color w:val="FF0000"/>
                <w:sz w:val="22"/>
                <w:szCs w:val="22"/>
              </w:rPr>
            </w:pPr>
            <w:r w:rsidRPr="00421A69">
              <w:rPr>
                <w:rFonts w:ascii="Cambria" w:hAnsi="Cambria"/>
                <w:b/>
                <w:bCs/>
                <w:color w:val="000000"/>
                <w:sz w:val="22"/>
                <w:szCs w:val="22"/>
              </w:rPr>
              <w:t>MADDE 5 –</w:t>
            </w:r>
            <w:r w:rsidRPr="00421A69">
              <w:rPr>
                <w:rFonts w:ascii="Cambria" w:hAnsi="Cambria"/>
                <w:color w:val="000000"/>
                <w:sz w:val="22"/>
                <w:szCs w:val="22"/>
              </w:rPr>
              <w:t> </w:t>
            </w:r>
            <w:r w:rsidRPr="00421A69">
              <w:rPr>
                <w:rFonts w:ascii="Cambria" w:hAnsi="Cambria"/>
                <w:b/>
                <w:color w:val="FF0000"/>
                <w:sz w:val="22"/>
                <w:szCs w:val="22"/>
              </w:rPr>
              <w:t>(6) Konservatuvar programları ile güzel sanatlar fakültelerinin sadece özel yetenek sınavı ile öğrenci kabul eden programlarının enstitülerdeki anasanat ve anabilim dallarındaki öğretim dili Türkçe olan programlarına başvurularda Devlet hastanesi veya Devlet üniversitesi hastanesinden alınmış sağlık raporu ile belgelenmesi şartıyla,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a) Düzeltilmemiş engeli en az %70 veya düzeltilmiş engeli en az %40  ve üzeri olan işitme engelli adaylarda,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b) Engel düzeyi %50 ve üzeri olmak üzere zihin yetersizliği bulunan engelli adaylarda,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c) Engel düzeyi %40 ve üzeri ''yaygın gelişimsel bozukluk'' (Otizm spektrum bozukluğu/çocukluk otizmi/</w:t>
            </w:r>
            <w:proofErr w:type="spellStart"/>
            <w:r w:rsidRPr="00421A69">
              <w:rPr>
                <w:rFonts w:ascii="Cambria" w:eastAsia="Times New Roman" w:hAnsi="Cambria" w:cs="Times New Roman"/>
                <w:b/>
                <w:color w:val="FF0000"/>
                <w:lang w:eastAsia="tr-TR"/>
              </w:rPr>
              <w:t>atipik</w:t>
            </w:r>
            <w:proofErr w:type="spellEnd"/>
            <w:r w:rsidRPr="00421A69">
              <w:rPr>
                <w:rFonts w:ascii="Cambria" w:eastAsia="Times New Roman" w:hAnsi="Cambria" w:cs="Times New Roman"/>
                <w:b/>
                <w:color w:val="FF0000"/>
                <w:lang w:eastAsia="tr-TR"/>
              </w:rPr>
              <w:t> otizm, </w:t>
            </w:r>
            <w:proofErr w:type="spellStart"/>
            <w:r w:rsidRPr="00421A69">
              <w:rPr>
                <w:rFonts w:ascii="Cambria" w:eastAsia="Times New Roman" w:hAnsi="Cambria" w:cs="Times New Roman"/>
                <w:b/>
                <w:color w:val="FF0000"/>
                <w:lang w:eastAsia="tr-TR"/>
              </w:rPr>
              <w:t>Rett</w:t>
            </w:r>
            <w:proofErr w:type="spellEnd"/>
            <w:r w:rsidRPr="00421A69">
              <w:rPr>
                <w:rFonts w:ascii="Cambria" w:eastAsia="Times New Roman" w:hAnsi="Cambria" w:cs="Times New Roman"/>
                <w:b/>
                <w:color w:val="FF0000"/>
                <w:lang w:eastAsia="tr-TR"/>
              </w:rPr>
              <w:t> Sendromu, </w:t>
            </w:r>
            <w:proofErr w:type="spellStart"/>
            <w:r w:rsidRPr="00421A69">
              <w:rPr>
                <w:rFonts w:ascii="Cambria" w:eastAsia="Times New Roman" w:hAnsi="Cambria" w:cs="Times New Roman"/>
                <w:b/>
                <w:color w:val="FF0000"/>
                <w:lang w:eastAsia="tr-TR"/>
              </w:rPr>
              <w:t>Asperger</w:t>
            </w:r>
            <w:proofErr w:type="spellEnd"/>
            <w:r w:rsidRPr="00421A69">
              <w:rPr>
                <w:rFonts w:ascii="Cambria" w:eastAsia="Times New Roman" w:hAnsi="Cambria" w:cs="Times New Roman"/>
                <w:b/>
                <w:color w:val="FF0000"/>
                <w:lang w:eastAsia="tr-TR"/>
              </w:rPr>
              <w:t> Sendromu) tanısı bulunan engelli adaylarda,</w:t>
            </w:r>
          </w:p>
          <w:p w:rsidR="009A0B72" w:rsidRPr="00421A69" w:rsidRDefault="00421A69" w:rsidP="00421A69">
            <w:pPr>
              <w:pStyle w:val="AralkYok"/>
              <w:jc w:val="both"/>
              <w:rPr>
                <w:rFonts w:ascii="Cambria" w:hAnsi="Cambria"/>
                <w:bCs/>
              </w:rPr>
            </w:pPr>
            <w:proofErr w:type="gramStart"/>
            <w:r w:rsidRPr="00421A69">
              <w:rPr>
                <w:rFonts w:ascii="Cambria" w:eastAsia="Times New Roman" w:hAnsi="Cambria" w:cs="Times New Roman"/>
                <w:b/>
                <w:color w:val="FF0000"/>
                <w:lang w:eastAsia="tr-TR"/>
              </w:rPr>
              <w:t>başvuru</w:t>
            </w:r>
            <w:proofErr w:type="gramEnd"/>
            <w:r w:rsidRPr="00421A69">
              <w:rPr>
                <w:rFonts w:ascii="Cambria" w:eastAsia="Times New Roman" w:hAnsi="Cambria" w:cs="Times New Roman"/>
                <w:b/>
                <w:color w:val="FF0000"/>
                <w:lang w:eastAsia="tr-TR"/>
              </w:rPr>
              <w:t> yapabilmeleri için yabancı dil puanı aranmaz. Bu adaylar yabancı dil puanı olarak üniversite tarafından aranan yabancı dil taban puanı şartını sağlamış sayılır.</w:t>
            </w:r>
          </w:p>
        </w:tc>
      </w:tr>
      <w:tr w:rsidR="00C934C3" w:rsidRPr="009A0B72" w:rsidTr="009A0B72">
        <w:tc>
          <w:tcPr>
            <w:tcW w:w="7280" w:type="dxa"/>
          </w:tcPr>
          <w:p w:rsidR="00421A69" w:rsidRPr="00421A69" w:rsidRDefault="00421A69" w:rsidP="00421A69">
            <w:pPr>
              <w:spacing w:after="0" w:line="240" w:lineRule="auto"/>
              <w:jc w:val="both"/>
              <w:rPr>
                <w:rFonts w:ascii="Cambria" w:eastAsia="Times New Roman" w:hAnsi="Cambria" w:cs="Times New Roman"/>
                <w:color w:val="000000"/>
                <w:lang w:eastAsia="tr-TR"/>
              </w:rPr>
            </w:pPr>
            <w:r w:rsidRPr="00421A69">
              <w:rPr>
                <w:rFonts w:ascii="Cambria" w:eastAsia="Times New Roman" w:hAnsi="Cambria" w:cs="Times New Roman"/>
                <w:b/>
                <w:bCs/>
                <w:color w:val="000000"/>
                <w:lang w:eastAsia="tr-TR"/>
              </w:rPr>
              <w:t>Başvuru ve kabul</w:t>
            </w:r>
          </w:p>
          <w:p w:rsidR="00C934C3" w:rsidRPr="00421A69" w:rsidRDefault="00421A69" w:rsidP="00421A69">
            <w:pPr>
              <w:spacing w:after="0" w:line="240" w:lineRule="auto"/>
              <w:jc w:val="both"/>
              <w:rPr>
                <w:rFonts w:ascii="Cambria" w:hAnsi="Cambria"/>
                <w:b/>
                <w:bCs/>
              </w:rPr>
            </w:pPr>
            <w:r w:rsidRPr="00421A69">
              <w:rPr>
                <w:rFonts w:ascii="Cambria" w:eastAsia="Times New Roman" w:hAnsi="Cambria" w:cs="Times New Roman"/>
                <w:b/>
                <w:bCs/>
                <w:color w:val="000000"/>
                <w:lang w:eastAsia="tr-TR"/>
              </w:rPr>
              <w:t>MADDE 25 –</w:t>
            </w:r>
            <w:r w:rsidRPr="00421A69">
              <w:rPr>
                <w:rFonts w:ascii="Cambria" w:eastAsia="Times New Roman" w:hAnsi="Cambria" w:cs="Times New Roman"/>
                <w:color w:val="000000"/>
                <w:lang w:eastAsia="tr-TR"/>
              </w:rPr>
              <w:t> </w:t>
            </w:r>
            <w:r w:rsidRPr="00421A69">
              <w:rPr>
                <w:rFonts w:ascii="Cambria" w:eastAsia="Times New Roman" w:hAnsi="Cambria" w:cs="Times New Roman"/>
                <w:b/>
                <w:strike/>
                <w:color w:val="FF0000"/>
                <w:lang w:eastAsia="tr-TR"/>
              </w:rPr>
              <w:t xml:space="preserve">(3) </w:t>
            </w:r>
            <w:r w:rsidRPr="00421A69">
              <w:rPr>
                <w:rFonts w:ascii="Cambria" w:hAnsi="Cambria"/>
                <w:b/>
                <w:strike/>
                <w:color w:val="FF0000"/>
              </w:rPr>
              <w:t>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
        </w:tc>
        <w:tc>
          <w:tcPr>
            <w:tcW w:w="7280" w:type="dxa"/>
          </w:tcPr>
          <w:p w:rsidR="00421A69" w:rsidRPr="00421A69" w:rsidRDefault="00421A69" w:rsidP="00421A69">
            <w:pPr>
              <w:spacing w:after="0" w:line="240" w:lineRule="auto"/>
              <w:jc w:val="both"/>
              <w:rPr>
                <w:rFonts w:ascii="Cambria" w:eastAsia="Times New Roman" w:hAnsi="Cambria" w:cs="Times New Roman"/>
                <w:color w:val="000000"/>
                <w:lang w:eastAsia="tr-TR"/>
              </w:rPr>
            </w:pPr>
            <w:r w:rsidRPr="00421A69">
              <w:rPr>
                <w:rFonts w:ascii="Cambria" w:eastAsia="Times New Roman" w:hAnsi="Cambria" w:cs="Times New Roman"/>
                <w:b/>
                <w:bCs/>
                <w:color w:val="000000"/>
                <w:lang w:eastAsia="tr-TR"/>
              </w:rPr>
              <w:t>Başvuru ve kabul</w:t>
            </w:r>
          </w:p>
          <w:p w:rsidR="00421A69" w:rsidRPr="00421A69" w:rsidRDefault="00421A69" w:rsidP="00421A69">
            <w:pPr>
              <w:pStyle w:val="metin"/>
              <w:spacing w:before="0" w:beforeAutospacing="0" w:after="0" w:afterAutospacing="0" w:line="240" w:lineRule="atLeast"/>
              <w:jc w:val="both"/>
              <w:rPr>
                <w:rFonts w:ascii="Cambria" w:hAnsi="Cambria"/>
                <w:b/>
                <w:color w:val="FF0000"/>
                <w:sz w:val="22"/>
                <w:szCs w:val="22"/>
              </w:rPr>
            </w:pPr>
            <w:r w:rsidRPr="00421A69">
              <w:rPr>
                <w:rFonts w:ascii="Cambria" w:hAnsi="Cambria"/>
                <w:b/>
                <w:bCs/>
                <w:color w:val="000000"/>
                <w:sz w:val="22"/>
                <w:szCs w:val="22"/>
              </w:rPr>
              <w:t>MADDE 25 –</w:t>
            </w:r>
            <w:r w:rsidRPr="00421A69">
              <w:rPr>
                <w:rFonts w:ascii="Cambria" w:hAnsi="Cambria"/>
                <w:color w:val="000000"/>
                <w:sz w:val="22"/>
                <w:szCs w:val="22"/>
              </w:rPr>
              <w:t xml:space="preserve"> (3) </w:t>
            </w:r>
            <w:r w:rsidRPr="00421A69">
              <w:rPr>
                <w:rFonts w:ascii="Cambria" w:hAnsi="Cambria"/>
                <w:b/>
                <w:color w:val="FF0000"/>
                <w:sz w:val="22"/>
                <w:szCs w:val="22"/>
              </w:rPr>
              <w:t xml:space="preserve">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Konservatuvar programları ile güzel sanatlar fakültelerinin </w:t>
            </w:r>
            <w:r w:rsidRPr="00421A69">
              <w:rPr>
                <w:rFonts w:ascii="Cambria" w:hAnsi="Cambria"/>
                <w:b/>
                <w:color w:val="FF0000"/>
                <w:sz w:val="22"/>
                <w:szCs w:val="22"/>
              </w:rPr>
              <w:lastRenderedPageBreak/>
              <w:t>sadece özel yetenek sınavı ile öğrenci kabul eden programlarının enstitülerdeki anasanat ve anabilim dallarındaki öğretim dili Türkçe olan programlarına başvurularda Devlet hastanesi veya Devlet üniversitesi hastanesinden alınmış sağlık raporu ile belgelenmesi şartıyla,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a) Düzeltilmemiş engeli en az %70 veya düzeltilmiş engeli en az %40  ve üzeri olan işitme engelli adaylarda,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b) Engel düzeyi %50 ve üzeri olmak üzere zihin yetersizliği bulunan engelli adaylarda,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r w:rsidRPr="00421A69">
              <w:rPr>
                <w:rFonts w:ascii="Cambria" w:eastAsia="Times New Roman" w:hAnsi="Cambria" w:cs="Times New Roman"/>
                <w:b/>
                <w:color w:val="FF0000"/>
                <w:lang w:eastAsia="tr-TR"/>
              </w:rPr>
              <w:t>c) Engel düzeyi %40 ve üzeri “yaygın gelişimsel bozukluk” (Otizm spektrum bozukluğu/çocukluk otizmi/</w:t>
            </w:r>
            <w:proofErr w:type="spellStart"/>
            <w:r w:rsidRPr="00421A69">
              <w:rPr>
                <w:rFonts w:ascii="Cambria" w:eastAsia="Times New Roman" w:hAnsi="Cambria" w:cs="Times New Roman"/>
                <w:b/>
                <w:color w:val="FF0000"/>
                <w:lang w:eastAsia="tr-TR"/>
              </w:rPr>
              <w:t>atipik</w:t>
            </w:r>
            <w:proofErr w:type="spellEnd"/>
            <w:r w:rsidRPr="00421A69">
              <w:rPr>
                <w:rFonts w:ascii="Cambria" w:eastAsia="Times New Roman" w:hAnsi="Cambria" w:cs="Times New Roman"/>
                <w:b/>
                <w:color w:val="FF0000"/>
                <w:lang w:eastAsia="tr-TR"/>
              </w:rPr>
              <w:t> otizm, </w:t>
            </w:r>
            <w:proofErr w:type="spellStart"/>
            <w:r w:rsidRPr="00421A69">
              <w:rPr>
                <w:rFonts w:ascii="Cambria" w:eastAsia="Times New Roman" w:hAnsi="Cambria" w:cs="Times New Roman"/>
                <w:b/>
                <w:color w:val="FF0000"/>
                <w:lang w:eastAsia="tr-TR"/>
              </w:rPr>
              <w:t>Rett</w:t>
            </w:r>
            <w:proofErr w:type="spellEnd"/>
            <w:r w:rsidRPr="00421A69">
              <w:rPr>
                <w:rFonts w:ascii="Cambria" w:eastAsia="Times New Roman" w:hAnsi="Cambria" w:cs="Times New Roman"/>
                <w:b/>
                <w:color w:val="FF0000"/>
                <w:lang w:eastAsia="tr-TR"/>
              </w:rPr>
              <w:t> Sendromu, </w:t>
            </w:r>
            <w:proofErr w:type="spellStart"/>
            <w:r w:rsidRPr="00421A69">
              <w:rPr>
                <w:rFonts w:ascii="Cambria" w:eastAsia="Times New Roman" w:hAnsi="Cambria" w:cs="Times New Roman"/>
                <w:b/>
                <w:color w:val="FF0000"/>
                <w:lang w:eastAsia="tr-TR"/>
              </w:rPr>
              <w:t>Asperger</w:t>
            </w:r>
            <w:proofErr w:type="spellEnd"/>
            <w:r w:rsidRPr="00421A69">
              <w:rPr>
                <w:rFonts w:ascii="Cambria" w:eastAsia="Times New Roman" w:hAnsi="Cambria" w:cs="Times New Roman"/>
                <w:b/>
                <w:color w:val="FF0000"/>
                <w:lang w:eastAsia="tr-TR"/>
              </w:rPr>
              <w:t> Sendromu) tanısı bulunan engelli adaylarda,</w:t>
            </w:r>
          </w:p>
          <w:p w:rsidR="00421A69" w:rsidRPr="00421A69" w:rsidRDefault="00421A69" w:rsidP="00421A69">
            <w:pPr>
              <w:spacing w:after="0" w:line="240" w:lineRule="atLeast"/>
              <w:jc w:val="both"/>
              <w:rPr>
                <w:rFonts w:ascii="Cambria" w:eastAsia="Times New Roman" w:hAnsi="Cambria" w:cs="Times New Roman"/>
                <w:b/>
                <w:color w:val="FF0000"/>
                <w:lang w:eastAsia="tr-TR"/>
              </w:rPr>
            </w:pPr>
            <w:proofErr w:type="gramStart"/>
            <w:r w:rsidRPr="00421A69">
              <w:rPr>
                <w:rFonts w:ascii="Cambria" w:eastAsia="Times New Roman" w:hAnsi="Cambria" w:cs="Times New Roman"/>
                <w:b/>
                <w:color w:val="FF0000"/>
                <w:lang w:eastAsia="tr-TR"/>
              </w:rPr>
              <w:t>başvuru</w:t>
            </w:r>
            <w:proofErr w:type="gramEnd"/>
            <w:r w:rsidRPr="00421A69">
              <w:rPr>
                <w:rFonts w:ascii="Cambria" w:eastAsia="Times New Roman" w:hAnsi="Cambria" w:cs="Times New Roman"/>
                <w:b/>
                <w:color w:val="FF0000"/>
                <w:lang w:eastAsia="tr-TR"/>
              </w:rPr>
              <w:t> yapabilmeleri için yabancı dil puanı aranmaz. Bu adaylar yabancı dil puanı olarak üniversite tarafından aranan yabancı dil taban puanı şartını sağlamış sayılır.</w:t>
            </w:r>
          </w:p>
          <w:p w:rsidR="00C934C3" w:rsidRPr="00421A69" w:rsidRDefault="00C934C3" w:rsidP="00421A69">
            <w:pPr>
              <w:spacing w:after="0" w:line="240" w:lineRule="auto"/>
              <w:jc w:val="both"/>
              <w:rPr>
                <w:rFonts w:ascii="Cambria" w:hAnsi="Cambria"/>
                <w:b/>
                <w:bCs/>
              </w:rPr>
            </w:pP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232C43" w:rsidRPr="00232C43" w:rsidRDefault="00232C43" w:rsidP="005B0C52">
      <w:pPr>
        <w:pStyle w:val="AralkYok"/>
        <w:rPr>
          <w:rFonts w:ascii="Cambria" w:hAnsi="Cambria"/>
        </w:rPr>
      </w:pPr>
      <w:r w:rsidRPr="00232C43">
        <w:rPr>
          <w:rFonts w:ascii="Cambria" w:hAnsi="Cambria"/>
        </w:rPr>
        <w:t xml:space="preserve">Not: </w:t>
      </w:r>
    </w:p>
    <w:p w:rsidR="00232C43" w:rsidRPr="00232C43" w:rsidRDefault="00232C43" w:rsidP="005B0C52">
      <w:pPr>
        <w:pStyle w:val="AralkYok"/>
        <w:rPr>
          <w:rFonts w:ascii="Cambria" w:hAnsi="Cambria"/>
        </w:rPr>
      </w:pPr>
      <w:r w:rsidRPr="00232C43">
        <w:rPr>
          <w:rFonts w:ascii="Cambria" w:hAnsi="Cambria"/>
        </w:rPr>
        <w:t xml:space="preserve">-Hazırlanan tabloda hata veya eksiklik varsa turgayd@bartin.edu.tr adresine elektronik posta olarak bildirebilirsiniz. </w:t>
      </w:r>
    </w:p>
    <w:p w:rsidR="00232C43" w:rsidRPr="00232C43" w:rsidRDefault="00232C43" w:rsidP="005B0C52">
      <w:pPr>
        <w:pStyle w:val="AralkYok"/>
        <w:rPr>
          <w:rFonts w:ascii="Cambria" w:hAnsi="Cambria"/>
        </w:rPr>
      </w:pPr>
      <w:r w:rsidRPr="00232C43">
        <w:rPr>
          <w:rFonts w:ascii="Cambria" w:hAnsi="Cambria"/>
        </w:rPr>
        <w:t>-</w:t>
      </w:r>
      <w:r w:rsidRPr="00232C43">
        <w:rPr>
          <w:rFonts w:ascii="Cambria" w:hAnsi="Cambria"/>
          <w:b/>
          <w:color w:val="FF0000"/>
        </w:rPr>
        <w:t>Kırmızı</w:t>
      </w:r>
      <w:r w:rsidRPr="00232C43">
        <w:rPr>
          <w:rFonts w:ascii="Cambria" w:hAnsi="Cambria"/>
        </w:rPr>
        <w:t xml:space="preserve"> olarak belirtilen yerler yapılan değişiklikleri veya eklenen maddeleri göstermektedir. </w:t>
      </w:r>
    </w:p>
    <w:p w:rsidR="00BE3E80" w:rsidRPr="00232C43" w:rsidRDefault="00232C43" w:rsidP="005B0C52">
      <w:pPr>
        <w:pStyle w:val="AralkYok"/>
        <w:rPr>
          <w:rFonts w:ascii="Cambria" w:hAnsi="Cambria"/>
          <w:b/>
          <w:bCs/>
          <w:color w:val="002060"/>
        </w:rPr>
      </w:pPr>
      <w:r w:rsidRPr="00232C43">
        <w:rPr>
          <w:rFonts w:ascii="Cambria" w:hAnsi="Cambria"/>
        </w:rPr>
        <w:t>-</w:t>
      </w:r>
      <w:r w:rsidRPr="00232C43">
        <w:rPr>
          <w:rFonts w:ascii="Cambria" w:hAnsi="Cambria"/>
          <w:b/>
          <w:strike/>
          <w:color w:val="FF0000"/>
        </w:rPr>
        <w:t>Kırmızı Çizili</w:t>
      </w:r>
      <w:r w:rsidRPr="00232C43">
        <w:rPr>
          <w:rFonts w:ascii="Cambria" w:hAnsi="Cambria"/>
          <w:color w:val="FF0000"/>
        </w:rPr>
        <w:t xml:space="preserve"> </w:t>
      </w:r>
      <w:r w:rsidRPr="00232C43">
        <w:rPr>
          <w:rFonts w:ascii="Cambria" w:hAnsi="Cambria"/>
        </w:rPr>
        <w:t>olarak belirtilen yerler metinden çıkartılmıştır</w:t>
      </w:r>
    </w:p>
    <w:p w:rsidR="00BE3E80" w:rsidRPr="00232C43"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EE" w:rsidRDefault="003127EE" w:rsidP="00534F7F">
      <w:pPr>
        <w:spacing w:after="0" w:line="240" w:lineRule="auto"/>
      </w:pPr>
      <w:r>
        <w:separator/>
      </w:r>
    </w:p>
  </w:endnote>
  <w:endnote w:type="continuationSeparator" w:id="0">
    <w:p w:rsidR="003127EE" w:rsidRDefault="003127E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567F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567F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EE" w:rsidRDefault="003127EE" w:rsidP="00534F7F">
      <w:pPr>
        <w:spacing w:after="0" w:line="240" w:lineRule="auto"/>
      </w:pPr>
      <w:r>
        <w:separator/>
      </w:r>
    </w:p>
  </w:footnote>
  <w:footnote w:type="continuationSeparator" w:id="0">
    <w:p w:rsidR="003127EE" w:rsidRDefault="003127E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715D1"/>
    <w:rsid w:val="001F16FF"/>
    <w:rsid w:val="0020508C"/>
    <w:rsid w:val="00222D2D"/>
    <w:rsid w:val="00232C43"/>
    <w:rsid w:val="00271BDB"/>
    <w:rsid w:val="002F0FD6"/>
    <w:rsid w:val="003127EE"/>
    <w:rsid w:val="00322432"/>
    <w:rsid w:val="003230A8"/>
    <w:rsid w:val="003C0F72"/>
    <w:rsid w:val="003C2094"/>
    <w:rsid w:val="003D72D5"/>
    <w:rsid w:val="00406E3A"/>
    <w:rsid w:val="00421A69"/>
    <w:rsid w:val="004232E9"/>
    <w:rsid w:val="00437CF7"/>
    <w:rsid w:val="004B24B6"/>
    <w:rsid w:val="004C1B22"/>
    <w:rsid w:val="00534F7F"/>
    <w:rsid w:val="00561AEB"/>
    <w:rsid w:val="00587671"/>
    <w:rsid w:val="005B0C52"/>
    <w:rsid w:val="005B25C0"/>
    <w:rsid w:val="006319F6"/>
    <w:rsid w:val="00634E90"/>
    <w:rsid w:val="0064705C"/>
    <w:rsid w:val="007F36C1"/>
    <w:rsid w:val="00846AD8"/>
    <w:rsid w:val="008B1B67"/>
    <w:rsid w:val="00900183"/>
    <w:rsid w:val="00925B46"/>
    <w:rsid w:val="009A0B72"/>
    <w:rsid w:val="00A5214F"/>
    <w:rsid w:val="00A80999"/>
    <w:rsid w:val="00AF7037"/>
    <w:rsid w:val="00BE3E80"/>
    <w:rsid w:val="00C80343"/>
    <w:rsid w:val="00C934C3"/>
    <w:rsid w:val="00CC3E17"/>
    <w:rsid w:val="00CF5DBC"/>
    <w:rsid w:val="00D00CA5"/>
    <w:rsid w:val="00D04D2D"/>
    <w:rsid w:val="00D23B84"/>
    <w:rsid w:val="00E25C93"/>
    <w:rsid w:val="00E567FD"/>
    <w:rsid w:val="00E63D92"/>
    <w:rsid w:val="00EB72A7"/>
    <w:rsid w:val="00F478AB"/>
    <w:rsid w:val="00F66833"/>
    <w:rsid w:val="00F958F7"/>
    <w:rsid w:val="00F96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77A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7F36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F36C1"/>
  </w:style>
  <w:style w:type="character" w:customStyle="1" w:styleId="grame">
    <w:name w:val="grame"/>
    <w:basedOn w:val="VarsaylanParagrafYazTipi"/>
    <w:rsid w:val="0042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3537">
      <w:bodyDiv w:val="1"/>
      <w:marLeft w:val="0"/>
      <w:marRight w:val="0"/>
      <w:marTop w:val="0"/>
      <w:marBottom w:val="0"/>
      <w:divBdr>
        <w:top w:val="none" w:sz="0" w:space="0" w:color="auto"/>
        <w:left w:val="none" w:sz="0" w:space="0" w:color="auto"/>
        <w:bottom w:val="none" w:sz="0" w:space="0" w:color="auto"/>
        <w:right w:val="none" w:sz="0" w:space="0" w:color="auto"/>
      </w:divBdr>
    </w:div>
    <w:div w:id="397678330">
      <w:bodyDiv w:val="1"/>
      <w:marLeft w:val="0"/>
      <w:marRight w:val="0"/>
      <w:marTop w:val="0"/>
      <w:marBottom w:val="0"/>
      <w:divBdr>
        <w:top w:val="none" w:sz="0" w:space="0" w:color="auto"/>
        <w:left w:val="none" w:sz="0" w:space="0" w:color="auto"/>
        <w:bottom w:val="none" w:sz="0" w:space="0" w:color="auto"/>
        <w:right w:val="none" w:sz="0" w:space="0" w:color="auto"/>
      </w:divBdr>
    </w:div>
    <w:div w:id="570893847">
      <w:bodyDiv w:val="1"/>
      <w:marLeft w:val="0"/>
      <w:marRight w:val="0"/>
      <w:marTop w:val="0"/>
      <w:marBottom w:val="0"/>
      <w:divBdr>
        <w:top w:val="none" w:sz="0" w:space="0" w:color="auto"/>
        <w:left w:val="none" w:sz="0" w:space="0" w:color="auto"/>
        <w:bottom w:val="none" w:sz="0" w:space="0" w:color="auto"/>
        <w:right w:val="none" w:sz="0" w:space="0" w:color="auto"/>
      </w:divBdr>
    </w:div>
    <w:div w:id="588737472">
      <w:bodyDiv w:val="1"/>
      <w:marLeft w:val="0"/>
      <w:marRight w:val="0"/>
      <w:marTop w:val="0"/>
      <w:marBottom w:val="0"/>
      <w:divBdr>
        <w:top w:val="none" w:sz="0" w:space="0" w:color="auto"/>
        <w:left w:val="none" w:sz="0" w:space="0" w:color="auto"/>
        <w:bottom w:val="none" w:sz="0" w:space="0" w:color="auto"/>
        <w:right w:val="none" w:sz="0" w:space="0" w:color="auto"/>
      </w:divBdr>
    </w:div>
    <w:div w:id="883634353">
      <w:bodyDiv w:val="1"/>
      <w:marLeft w:val="0"/>
      <w:marRight w:val="0"/>
      <w:marTop w:val="0"/>
      <w:marBottom w:val="0"/>
      <w:divBdr>
        <w:top w:val="none" w:sz="0" w:space="0" w:color="auto"/>
        <w:left w:val="none" w:sz="0" w:space="0" w:color="auto"/>
        <w:bottom w:val="none" w:sz="0" w:space="0" w:color="auto"/>
        <w:right w:val="none" w:sz="0" w:space="0" w:color="auto"/>
      </w:divBdr>
    </w:div>
    <w:div w:id="1400441710">
      <w:bodyDiv w:val="1"/>
      <w:marLeft w:val="0"/>
      <w:marRight w:val="0"/>
      <w:marTop w:val="0"/>
      <w:marBottom w:val="0"/>
      <w:divBdr>
        <w:top w:val="none" w:sz="0" w:space="0" w:color="auto"/>
        <w:left w:val="none" w:sz="0" w:space="0" w:color="auto"/>
        <w:bottom w:val="none" w:sz="0" w:space="0" w:color="auto"/>
        <w:right w:val="none" w:sz="0" w:space="0" w:color="auto"/>
      </w:divBdr>
    </w:div>
    <w:div w:id="1843811837">
      <w:bodyDiv w:val="1"/>
      <w:marLeft w:val="0"/>
      <w:marRight w:val="0"/>
      <w:marTop w:val="0"/>
      <w:marBottom w:val="0"/>
      <w:divBdr>
        <w:top w:val="none" w:sz="0" w:space="0" w:color="auto"/>
        <w:left w:val="none" w:sz="0" w:space="0" w:color="auto"/>
        <w:bottom w:val="none" w:sz="0" w:space="0" w:color="auto"/>
        <w:right w:val="none" w:sz="0" w:space="0" w:color="auto"/>
      </w:divBdr>
    </w:div>
    <w:div w:id="1895458653">
      <w:bodyDiv w:val="1"/>
      <w:marLeft w:val="0"/>
      <w:marRight w:val="0"/>
      <w:marTop w:val="0"/>
      <w:marBottom w:val="0"/>
      <w:divBdr>
        <w:top w:val="none" w:sz="0" w:space="0" w:color="auto"/>
        <w:left w:val="none" w:sz="0" w:space="0" w:color="auto"/>
        <w:bottom w:val="none" w:sz="0" w:space="0" w:color="auto"/>
        <w:right w:val="none" w:sz="0" w:space="0" w:color="auto"/>
      </w:divBdr>
    </w:div>
    <w:div w:id="1959069189">
      <w:bodyDiv w:val="1"/>
      <w:marLeft w:val="0"/>
      <w:marRight w:val="0"/>
      <w:marTop w:val="0"/>
      <w:marBottom w:val="0"/>
      <w:divBdr>
        <w:top w:val="none" w:sz="0" w:space="0" w:color="auto"/>
        <w:left w:val="none" w:sz="0" w:space="0" w:color="auto"/>
        <w:bottom w:val="none" w:sz="0" w:space="0" w:color="auto"/>
        <w:right w:val="none" w:sz="0" w:space="0" w:color="auto"/>
      </w:divBdr>
    </w:div>
    <w:div w:id="20036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13</cp:revision>
  <cp:lastPrinted>2021-05-17T22:51:00Z</cp:lastPrinted>
  <dcterms:created xsi:type="dcterms:W3CDTF">2021-05-17T22:38:00Z</dcterms:created>
  <dcterms:modified xsi:type="dcterms:W3CDTF">2021-05-17T22:51:00Z</dcterms:modified>
</cp:coreProperties>
</file>