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14:paraId="43A3411A" w14:textId="77777777" w:rsidTr="006319F6">
        <w:tc>
          <w:tcPr>
            <w:tcW w:w="2508" w:type="dxa"/>
            <w:vMerge w:val="restart"/>
            <w:shd w:val="clear" w:color="auto" w:fill="F2F2F2" w:themeFill="background1" w:themeFillShade="F2"/>
            <w:vAlign w:val="center"/>
          </w:tcPr>
          <w:p w14:paraId="7E5ABE36" w14:textId="77777777"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14:paraId="7A4022C3" w14:textId="77777777"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14:paraId="09828A81" w14:textId="77777777"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70082D7C" w14:textId="77777777"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14:paraId="04C5D7D9" w14:textId="77777777"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34F66597" w14:textId="77777777"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14:paraId="6BA42FD0" w14:textId="77777777"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14CB363A" w14:textId="77777777"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14:paraId="52EC05B1" w14:textId="77777777" w:rsidR="006319F6" w:rsidRPr="009A0B72" w:rsidRDefault="006319F6" w:rsidP="006319F6">
            <w:pPr>
              <w:pStyle w:val="AralkYok"/>
              <w:rPr>
                <w:rFonts w:ascii="Cambria" w:hAnsi="Cambria"/>
                <w:b/>
                <w:bCs/>
              </w:rPr>
            </w:pPr>
            <w:r>
              <w:rPr>
                <w:rFonts w:ascii="Cambria" w:hAnsi="Cambria"/>
                <w:b/>
                <w:bCs/>
              </w:rPr>
              <w:t>Tebliğ</w:t>
            </w:r>
          </w:p>
        </w:tc>
      </w:tr>
      <w:tr w:rsidR="006319F6" w14:paraId="779716CC" w14:textId="77777777" w:rsidTr="006319F6">
        <w:tc>
          <w:tcPr>
            <w:tcW w:w="2508" w:type="dxa"/>
            <w:vMerge/>
            <w:shd w:val="clear" w:color="auto" w:fill="F2F2F2" w:themeFill="background1" w:themeFillShade="F2"/>
            <w:vAlign w:val="center"/>
          </w:tcPr>
          <w:p w14:paraId="69054834" w14:textId="77777777"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14:paraId="0AAFD0DB" w14:textId="3A0C73F1" w:rsidR="006319F6" w:rsidRPr="009A0B72" w:rsidRDefault="00BE2656" w:rsidP="005B0C52">
                <w:pPr>
                  <w:pStyle w:val="AralkYok"/>
                  <w:rPr>
                    <w:rFonts w:ascii="Cambria" w:hAnsi="Cambria"/>
                    <w:b/>
                    <w:bCs/>
                    <w:sz w:val="24"/>
                  </w:rPr>
                </w:pPr>
                <w:r>
                  <w:rPr>
                    <w:rFonts w:ascii="MS Gothic" w:eastAsia="MS Gothic" w:hAnsi="MS Gothic" w:hint="eastAsia"/>
                    <w:b/>
                    <w:bCs/>
                    <w:sz w:val="24"/>
                  </w:rPr>
                  <w:t>☒</w:t>
                </w:r>
              </w:p>
            </w:tc>
          </w:sdtContent>
        </w:sdt>
        <w:tc>
          <w:tcPr>
            <w:tcW w:w="2532" w:type="dxa"/>
            <w:tcBorders>
              <w:top w:val="nil"/>
              <w:left w:val="nil"/>
              <w:right w:val="nil"/>
            </w:tcBorders>
            <w:vAlign w:val="center"/>
          </w:tcPr>
          <w:p w14:paraId="15EC0C7F" w14:textId="77777777"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1BA81AB0" w14:textId="77777777"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14:paraId="1B148E68" w14:textId="77777777"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7EA7F5A8" w14:textId="77777777"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14:paraId="0C8831FC" w14:textId="77777777"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5FF23F13" w14:textId="77777777"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14:paraId="6B6AB462" w14:textId="77777777"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14:paraId="20996093" w14:textId="77777777" w:rsidTr="006319F6">
        <w:tc>
          <w:tcPr>
            <w:tcW w:w="2508" w:type="dxa"/>
            <w:shd w:val="clear" w:color="auto" w:fill="F2F2F2" w:themeFill="background1" w:themeFillShade="F2"/>
            <w:vAlign w:val="center"/>
          </w:tcPr>
          <w:p w14:paraId="7A529268" w14:textId="77777777"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14:paraId="4CC79B30" w14:textId="14164D93" w:rsidR="009A0B72" w:rsidRPr="00BE2656" w:rsidRDefault="00BE2656" w:rsidP="005B0C52">
            <w:pPr>
              <w:pStyle w:val="AralkYok"/>
              <w:rPr>
                <w:rFonts w:ascii="Cambria" w:hAnsi="Cambria"/>
                <w:b/>
                <w:bCs/>
                <w:color w:val="002060"/>
                <w:sz w:val="24"/>
              </w:rPr>
            </w:pPr>
            <w:r w:rsidRPr="00BE2656">
              <w:rPr>
                <w:rFonts w:ascii="Cambria" w:hAnsi="Cambria" w:cs="Calibri"/>
                <w:b/>
                <w:bCs/>
                <w:color w:val="000000"/>
              </w:rPr>
              <w:t xml:space="preserve">Yükseköğretim Kurumlarında </w:t>
            </w:r>
            <w:proofErr w:type="spellStart"/>
            <w:r w:rsidRPr="00BE2656">
              <w:rPr>
                <w:rFonts w:ascii="Cambria" w:hAnsi="Cambria" w:cs="Calibri"/>
                <w:b/>
                <w:bCs/>
                <w:color w:val="000000"/>
              </w:rPr>
              <w:t>Önlisans</w:t>
            </w:r>
            <w:proofErr w:type="spellEnd"/>
            <w:r w:rsidRPr="00BE2656">
              <w:rPr>
                <w:rFonts w:ascii="Cambria" w:hAnsi="Cambria" w:cs="Calibri"/>
                <w:b/>
                <w:bCs/>
                <w:color w:val="000000"/>
              </w:rPr>
              <w:t xml:space="preserve"> </w:t>
            </w:r>
            <w:proofErr w:type="gramStart"/>
            <w:r w:rsidRPr="00BE2656">
              <w:rPr>
                <w:rFonts w:ascii="Cambria" w:hAnsi="Cambria" w:cs="Calibri"/>
                <w:b/>
                <w:bCs/>
                <w:color w:val="000000"/>
              </w:rPr>
              <w:t>Ve</w:t>
            </w:r>
            <w:proofErr w:type="gramEnd"/>
            <w:r w:rsidRPr="00BE2656">
              <w:rPr>
                <w:rFonts w:ascii="Cambria" w:hAnsi="Cambria" w:cs="Calibri"/>
                <w:b/>
                <w:bCs/>
                <w:color w:val="000000"/>
              </w:rPr>
              <w:t xml:space="preserve"> Lisans Düzeyindeki Programlar Arasında Geçiş, Çift </w:t>
            </w:r>
            <w:proofErr w:type="spellStart"/>
            <w:r w:rsidRPr="00BE2656">
              <w:rPr>
                <w:rFonts w:ascii="Cambria" w:hAnsi="Cambria" w:cs="Calibri"/>
                <w:b/>
                <w:bCs/>
                <w:color w:val="000000"/>
              </w:rPr>
              <w:t>Anadal</w:t>
            </w:r>
            <w:proofErr w:type="spellEnd"/>
            <w:r w:rsidRPr="00BE2656">
              <w:rPr>
                <w:rFonts w:ascii="Cambria" w:hAnsi="Cambria" w:cs="Calibri"/>
                <w:b/>
                <w:bCs/>
                <w:color w:val="000000"/>
              </w:rPr>
              <w:t>, Yan Dal İle Kurumlar Arası Kredi Transferi Yapılması Esaslarına İlişkin Yönetmelik</w:t>
            </w:r>
          </w:p>
        </w:tc>
      </w:tr>
    </w:tbl>
    <w:p w14:paraId="371A9C9A" w14:textId="77777777"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14:paraId="32003EA9" w14:textId="77777777" w:rsidTr="009A0B72">
        <w:tc>
          <w:tcPr>
            <w:tcW w:w="7280" w:type="dxa"/>
            <w:shd w:val="clear" w:color="auto" w:fill="F2F2F2" w:themeFill="background1" w:themeFillShade="F2"/>
          </w:tcPr>
          <w:p w14:paraId="12F69870" w14:textId="77777777"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14:paraId="1942C806" w14:textId="77777777"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14:paraId="7D053BC4" w14:textId="77777777" w:rsidTr="009A0B72">
        <w:tc>
          <w:tcPr>
            <w:tcW w:w="7280" w:type="dxa"/>
          </w:tcPr>
          <w:p w14:paraId="7654E44F" w14:textId="77777777" w:rsidR="00BE2656" w:rsidRPr="00BE2656" w:rsidRDefault="00BE2656" w:rsidP="009A0B72">
            <w:pPr>
              <w:pStyle w:val="AralkYok"/>
              <w:jc w:val="center"/>
              <w:rPr>
                <w:rFonts w:ascii="Cambria" w:hAnsi="Cambria"/>
                <w:bCs/>
              </w:rPr>
            </w:pPr>
          </w:p>
          <w:p w14:paraId="51538FED" w14:textId="77777777" w:rsidR="00BE2656" w:rsidRPr="00BE2656" w:rsidRDefault="00BE2656" w:rsidP="009A0B72">
            <w:pPr>
              <w:pStyle w:val="AralkYok"/>
              <w:jc w:val="center"/>
              <w:rPr>
                <w:rFonts w:ascii="Cambria" w:hAnsi="Cambria"/>
                <w:bCs/>
              </w:rPr>
            </w:pPr>
          </w:p>
          <w:p w14:paraId="6782248E" w14:textId="77777777" w:rsidR="00BE2656" w:rsidRPr="00BE2656" w:rsidRDefault="00BE2656" w:rsidP="009A0B72">
            <w:pPr>
              <w:pStyle w:val="AralkYok"/>
              <w:jc w:val="center"/>
              <w:rPr>
                <w:rFonts w:ascii="Cambria" w:hAnsi="Cambria"/>
                <w:bCs/>
              </w:rPr>
            </w:pPr>
          </w:p>
          <w:p w14:paraId="3DE0801F" w14:textId="77777777" w:rsidR="00BE2656" w:rsidRPr="00BE2656" w:rsidRDefault="00BE2656" w:rsidP="009A0B72">
            <w:pPr>
              <w:pStyle w:val="AralkYok"/>
              <w:jc w:val="center"/>
              <w:rPr>
                <w:rFonts w:ascii="Cambria" w:hAnsi="Cambria"/>
                <w:bCs/>
              </w:rPr>
            </w:pPr>
          </w:p>
          <w:p w14:paraId="5E4F2B80" w14:textId="77777777" w:rsidR="00BE2656" w:rsidRDefault="00BE2656" w:rsidP="009A0B72">
            <w:pPr>
              <w:pStyle w:val="AralkYok"/>
              <w:jc w:val="center"/>
              <w:rPr>
                <w:rFonts w:ascii="Cambria" w:hAnsi="Cambria"/>
                <w:bCs/>
              </w:rPr>
            </w:pPr>
          </w:p>
          <w:p w14:paraId="4FB6EE05" w14:textId="77777777" w:rsidR="00BE2656" w:rsidRDefault="00BE2656" w:rsidP="009A0B72">
            <w:pPr>
              <w:pStyle w:val="AralkYok"/>
              <w:jc w:val="center"/>
              <w:rPr>
                <w:rFonts w:ascii="Cambria" w:hAnsi="Cambria"/>
                <w:bCs/>
              </w:rPr>
            </w:pPr>
          </w:p>
          <w:p w14:paraId="2BA1C081" w14:textId="77777777" w:rsidR="00BE2656" w:rsidRDefault="00BE2656" w:rsidP="009A0B72">
            <w:pPr>
              <w:pStyle w:val="AralkYok"/>
              <w:jc w:val="center"/>
              <w:rPr>
                <w:rFonts w:ascii="Cambria" w:hAnsi="Cambria"/>
                <w:bCs/>
              </w:rPr>
            </w:pPr>
          </w:p>
          <w:p w14:paraId="4E70A0E0" w14:textId="37D6199F" w:rsidR="009A0B72" w:rsidRPr="00BE2656" w:rsidRDefault="00BE2656" w:rsidP="009A0B72">
            <w:pPr>
              <w:pStyle w:val="AralkYok"/>
              <w:jc w:val="center"/>
              <w:rPr>
                <w:rFonts w:ascii="Cambria" w:hAnsi="Cambria"/>
                <w:b/>
              </w:rPr>
            </w:pPr>
            <w:r w:rsidRPr="00BE2656">
              <w:rPr>
                <w:rFonts w:ascii="Cambria" w:hAnsi="Cambria"/>
                <w:b/>
              </w:rPr>
              <w:t>Ek Fıkra Eklenmesi</w:t>
            </w:r>
          </w:p>
        </w:tc>
        <w:tc>
          <w:tcPr>
            <w:tcW w:w="7280" w:type="dxa"/>
          </w:tcPr>
          <w:p w14:paraId="1CCDDFD8" w14:textId="77777777" w:rsidR="00BE2656" w:rsidRPr="00BE2656" w:rsidRDefault="00BE2656" w:rsidP="00BE2656">
            <w:pPr>
              <w:spacing w:after="0" w:line="305" w:lineRule="atLeast"/>
              <w:jc w:val="both"/>
              <w:rPr>
                <w:rFonts w:ascii="Cambria" w:eastAsia="Times New Roman" w:hAnsi="Cambria" w:cs="Times New Roman"/>
                <w:color w:val="000000"/>
                <w:lang w:eastAsia="tr-TR"/>
              </w:rPr>
            </w:pPr>
            <w:r w:rsidRPr="00BE2656">
              <w:rPr>
                <w:rFonts w:ascii="Cambria" w:eastAsia="Times New Roman" w:hAnsi="Cambria" w:cs="Calibri"/>
                <w:b/>
                <w:bCs/>
                <w:color w:val="000000"/>
                <w:lang w:eastAsia="tr-TR"/>
              </w:rPr>
              <w:t>Değişim programları ve özel öğrenci olarak ders alma</w:t>
            </w:r>
          </w:p>
          <w:p w14:paraId="64204698" w14:textId="77777777" w:rsidR="00BE2656" w:rsidRPr="00BE2656" w:rsidRDefault="00BE2656" w:rsidP="00BE2656">
            <w:pPr>
              <w:pStyle w:val="metin"/>
              <w:spacing w:before="0" w:beforeAutospacing="0" w:after="0" w:afterAutospacing="0" w:line="240" w:lineRule="atLeast"/>
              <w:jc w:val="both"/>
              <w:rPr>
                <w:rFonts w:ascii="Cambria" w:hAnsi="Cambria"/>
                <w:b/>
                <w:bCs/>
                <w:color w:val="FF0000"/>
                <w:sz w:val="22"/>
                <w:szCs w:val="22"/>
              </w:rPr>
            </w:pPr>
            <w:r w:rsidRPr="00BE2656">
              <w:rPr>
                <w:rFonts w:ascii="Cambria" w:hAnsi="Cambria" w:cs="Calibri"/>
                <w:b/>
                <w:bCs/>
                <w:color w:val="000000"/>
                <w:sz w:val="22"/>
                <w:szCs w:val="22"/>
              </w:rPr>
              <w:t>MADDE 22</w:t>
            </w:r>
            <w:r w:rsidRPr="00BE2656">
              <w:rPr>
                <w:rFonts w:ascii="Cambria" w:hAnsi="Cambria" w:cs="Calibri"/>
                <w:color w:val="000000"/>
                <w:sz w:val="22"/>
                <w:szCs w:val="22"/>
              </w:rPr>
              <w:t> – (</w:t>
            </w:r>
            <w:r w:rsidRPr="00BE2656">
              <w:rPr>
                <w:rFonts w:ascii="Cambria" w:hAnsi="Cambria" w:cs="Calibri"/>
                <w:color w:val="000000"/>
                <w:sz w:val="22"/>
                <w:szCs w:val="22"/>
              </w:rPr>
              <w:t>7</w:t>
            </w:r>
            <w:r w:rsidRPr="00BE2656">
              <w:rPr>
                <w:rFonts w:ascii="Cambria" w:hAnsi="Cambria" w:cs="Calibri"/>
                <w:color w:val="000000"/>
                <w:sz w:val="22"/>
                <w:szCs w:val="22"/>
              </w:rPr>
              <w:t>)</w:t>
            </w:r>
            <w:r w:rsidRPr="00BE2656">
              <w:rPr>
                <w:rFonts w:ascii="Cambria" w:hAnsi="Cambria" w:cs="Calibri"/>
                <w:color w:val="000000"/>
                <w:sz w:val="22"/>
                <w:szCs w:val="22"/>
              </w:rPr>
              <w:t xml:space="preserve"> </w:t>
            </w:r>
            <w:r w:rsidRPr="00BE2656">
              <w:rPr>
                <w:rFonts w:ascii="Cambria" w:hAnsi="Cambria"/>
                <w:b/>
                <w:bCs/>
                <w:color w:val="FF0000"/>
                <w:sz w:val="22"/>
                <w:szCs w:val="22"/>
              </w:rPr>
              <w:t>Özel öğrencilik </w:t>
            </w:r>
            <w:r w:rsidRPr="00BE2656">
              <w:rPr>
                <w:rStyle w:val="grame"/>
                <w:rFonts w:ascii="Cambria" w:hAnsi="Cambria"/>
                <w:b/>
                <w:bCs/>
                <w:color w:val="FF0000"/>
                <w:sz w:val="22"/>
                <w:szCs w:val="22"/>
              </w:rPr>
              <w:t>imkanından</w:t>
            </w:r>
            <w:r w:rsidRPr="00BE2656">
              <w:rPr>
                <w:rFonts w:ascii="Cambria" w:hAnsi="Cambria"/>
                <w:b/>
                <w:bCs/>
                <w:color w:val="FF0000"/>
                <w:sz w:val="22"/>
                <w:szCs w:val="22"/>
              </w:rPr>
              <w:t> bir program süresince en fazla iki dönem yararlanılır. Bu süre, öğrencinin talebi ve ancak aşağıdaki şartlar çerçevesinde Yükseköğretim Kurulunun kararıyla uzatılabilir:</w:t>
            </w:r>
          </w:p>
          <w:p w14:paraId="45413472" w14:textId="77777777" w:rsidR="00BE2656" w:rsidRPr="00BE2656" w:rsidRDefault="00BE2656" w:rsidP="00BE2656">
            <w:pPr>
              <w:pStyle w:val="metin"/>
              <w:spacing w:before="0" w:beforeAutospacing="0" w:after="0" w:afterAutospacing="0" w:line="240" w:lineRule="atLeast"/>
              <w:jc w:val="both"/>
              <w:rPr>
                <w:rFonts w:ascii="Cambria" w:hAnsi="Cambria"/>
                <w:b/>
                <w:bCs/>
                <w:color w:val="FF0000"/>
                <w:sz w:val="22"/>
                <w:szCs w:val="22"/>
              </w:rPr>
            </w:pPr>
            <w:r w:rsidRPr="00BE2656">
              <w:rPr>
                <w:rFonts w:ascii="Cambria" w:hAnsi="Cambria"/>
                <w:b/>
                <w:bCs/>
                <w:color w:val="FF0000"/>
                <w:sz w:val="22"/>
                <w:szCs w:val="22"/>
              </w:rPr>
              <w:t>a) Öğrencinin, yükseköğretim kurumuna yerleşmesinden sonra eğitimi sebebiyle ikamet edilen ilde tedavisi mümkün olmayan ciddi bir hastalık teşhisi konulduğunun ya da var olan hastalığın ilerlediğinin devlet hastanesi veya devlet üniversitesi hastanesinden alınmış sağlık kurulu raporu ile belgelenmiş olması.</w:t>
            </w:r>
          </w:p>
          <w:p w14:paraId="7185E396" w14:textId="77777777" w:rsidR="00BE2656" w:rsidRPr="00BE2656" w:rsidRDefault="00BE2656" w:rsidP="00BE2656">
            <w:pPr>
              <w:pStyle w:val="metin"/>
              <w:spacing w:before="0" w:beforeAutospacing="0" w:after="0" w:afterAutospacing="0" w:line="240" w:lineRule="atLeast"/>
              <w:jc w:val="both"/>
              <w:rPr>
                <w:rFonts w:ascii="Cambria" w:hAnsi="Cambria"/>
                <w:b/>
                <w:bCs/>
                <w:color w:val="FF0000"/>
                <w:sz w:val="22"/>
                <w:szCs w:val="22"/>
              </w:rPr>
            </w:pPr>
            <w:r w:rsidRPr="00BE2656">
              <w:rPr>
                <w:rFonts w:ascii="Cambria" w:hAnsi="Cambria"/>
                <w:b/>
                <w:bCs/>
                <w:color w:val="FF0000"/>
                <w:sz w:val="22"/>
                <w:szCs w:val="22"/>
              </w:rPr>
              <w:t>b) Öğrencinin, maruz kaldığı darp, şiddet gibi fiiller sebebiyle öğrenimini kayıtlı olduğu yükseköğretim kurumunda devam ettirmesinin mümkün olmadığına ilişkin üniversite yönetim kurulunun teklifinin olması.</w:t>
            </w:r>
          </w:p>
          <w:p w14:paraId="51D89627" w14:textId="17EBEC74" w:rsidR="009A0B72" w:rsidRPr="00BE2656" w:rsidRDefault="00BE2656" w:rsidP="00BE2656">
            <w:pPr>
              <w:pStyle w:val="metin"/>
              <w:spacing w:before="0" w:beforeAutospacing="0" w:after="0" w:afterAutospacing="0" w:line="240" w:lineRule="atLeast"/>
              <w:jc w:val="both"/>
              <w:rPr>
                <w:rFonts w:ascii="Cambria" w:hAnsi="Cambria"/>
                <w:bCs/>
                <w:sz w:val="22"/>
                <w:szCs w:val="22"/>
              </w:rPr>
            </w:pPr>
            <w:r w:rsidRPr="00BE2656">
              <w:rPr>
                <w:rFonts w:ascii="Cambria" w:hAnsi="Cambria"/>
                <w:b/>
                <w:bCs/>
                <w:color w:val="FF0000"/>
                <w:sz w:val="22"/>
                <w:szCs w:val="22"/>
              </w:rPr>
              <w:t>(8) Yurt dışındaki yükseköğretim kurumlarında eğitim alan Türk vatandaşı öğrenciler, özel öğrencilik </w:t>
            </w:r>
            <w:r w:rsidRPr="00BE2656">
              <w:rPr>
                <w:rStyle w:val="grame"/>
                <w:rFonts w:ascii="Cambria" w:hAnsi="Cambria"/>
                <w:b/>
                <w:bCs/>
                <w:color w:val="FF0000"/>
                <w:sz w:val="22"/>
                <w:szCs w:val="22"/>
              </w:rPr>
              <w:t>imkanından</w:t>
            </w:r>
            <w:r w:rsidRPr="00BE2656">
              <w:rPr>
                <w:rFonts w:ascii="Cambria" w:hAnsi="Cambria"/>
                <w:b/>
                <w:bCs/>
                <w:color w:val="FF0000"/>
                <w:sz w:val="22"/>
                <w:szCs w:val="22"/>
              </w:rPr>
              <w:t> en fazla iki dönem yararlanabilir.</w:t>
            </w:r>
          </w:p>
        </w:tc>
      </w:tr>
    </w:tbl>
    <w:p w14:paraId="0D2B1BF2" w14:textId="77777777" w:rsidR="00BE3E80" w:rsidRDefault="00BE3E80" w:rsidP="005B0C52">
      <w:pPr>
        <w:pStyle w:val="AralkYok"/>
        <w:rPr>
          <w:rFonts w:ascii="Cambria" w:hAnsi="Cambria"/>
          <w:b/>
          <w:bCs/>
          <w:color w:val="002060"/>
        </w:rPr>
      </w:pPr>
    </w:p>
    <w:p w14:paraId="33C26EF9" w14:textId="77777777" w:rsidR="00BE3E80" w:rsidRDefault="00BE3E80" w:rsidP="005B0C52">
      <w:pPr>
        <w:pStyle w:val="AralkYok"/>
        <w:rPr>
          <w:rFonts w:ascii="Cambria" w:hAnsi="Cambria"/>
          <w:b/>
          <w:bCs/>
          <w:color w:val="002060"/>
        </w:rPr>
      </w:pPr>
    </w:p>
    <w:p w14:paraId="45280BB1" w14:textId="77777777" w:rsidR="00BE3E80" w:rsidRDefault="00BE3E80" w:rsidP="005B0C52">
      <w:pPr>
        <w:pStyle w:val="AralkYok"/>
        <w:rPr>
          <w:rFonts w:ascii="Cambria" w:hAnsi="Cambria"/>
          <w:b/>
          <w:bCs/>
          <w:color w:val="002060"/>
        </w:rPr>
      </w:pPr>
    </w:p>
    <w:p w14:paraId="2C5558D9" w14:textId="77777777" w:rsidR="00BE3E80" w:rsidRDefault="00BE3E80" w:rsidP="005B0C52">
      <w:pPr>
        <w:pStyle w:val="AralkYok"/>
        <w:rPr>
          <w:rFonts w:ascii="Cambria" w:hAnsi="Cambria"/>
          <w:b/>
          <w:bCs/>
          <w:color w:val="002060"/>
        </w:rPr>
      </w:pPr>
    </w:p>
    <w:p w14:paraId="613E449D" w14:textId="77777777" w:rsidR="00BE3E80" w:rsidRDefault="00BE3E80" w:rsidP="005B0C52">
      <w:pPr>
        <w:pStyle w:val="AralkYok"/>
        <w:rPr>
          <w:rFonts w:ascii="Cambria" w:hAnsi="Cambria"/>
          <w:b/>
          <w:bCs/>
          <w:color w:val="002060"/>
        </w:rPr>
      </w:pPr>
    </w:p>
    <w:p w14:paraId="2CDB1553" w14:textId="77777777" w:rsidR="00BE3E80" w:rsidRDefault="00BE3E80" w:rsidP="005B0C52">
      <w:pPr>
        <w:pStyle w:val="AralkYok"/>
        <w:rPr>
          <w:rFonts w:ascii="Cambria" w:hAnsi="Cambria"/>
          <w:b/>
          <w:bCs/>
          <w:color w:val="002060"/>
        </w:rPr>
      </w:pPr>
    </w:p>
    <w:p w14:paraId="6BCDE645" w14:textId="77777777" w:rsidR="00F478AB" w:rsidRPr="00116355" w:rsidRDefault="00F478AB" w:rsidP="00F478AB">
      <w:pPr>
        <w:rPr>
          <w:rFonts w:ascii="Cambria" w:hAnsi="Cambria"/>
        </w:rPr>
      </w:pPr>
    </w:p>
    <w:p w14:paraId="5507CC18" w14:textId="77777777"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857C" w14:textId="77777777" w:rsidR="006D40B3" w:rsidRDefault="006D40B3" w:rsidP="00534F7F">
      <w:pPr>
        <w:spacing w:after="0" w:line="240" w:lineRule="auto"/>
      </w:pPr>
      <w:r>
        <w:separator/>
      </w:r>
    </w:p>
  </w:endnote>
  <w:endnote w:type="continuationSeparator" w:id="0">
    <w:p w14:paraId="59E76285" w14:textId="77777777" w:rsidR="006D40B3" w:rsidRDefault="006D40B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A649" w14:textId="77777777"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CC4F" w14:textId="77777777"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14:paraId="05E56F4F" w14:textId="77777777" w:rsidTr="0020508C">
      <w:trPr>
        <w:trHeight w:val="559"/>
      </w:trPr>
      <w:tc>
        <w:tcPr>
          <w:tcW w:w="666" w:type="dxa"/>
        </w:tcPr>
        <w:p w14:paraId="5A4DF06D" w14:textId="77777777"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7B0D7E01" w14:textId="77777777"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14:paraId="4FA7E898"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14:paraId="7792EF59" w14:textId="77777777"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5AF52B42" w14:textId="77777777"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0A895B9F" w14:textId="77777777"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528C91AB"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p w14:paraId="75BD1BB8"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p w14:paraId="72DD506F"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14:paraId="2F63B66D"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F5A3011" w14:textId="77777777"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1F2C60E" w14:textId="77777777"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14:paraId="39A4E4AC" w14:textId="77777777"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14DD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14DDB">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4DEBCE7D" w14:textId="77777777" w:rsidR="00534F7F" w:rsidRDefault="00534F7F">
    <w:pPr>
      <w:pStyle w:val="AltBilgi"/>
      <w:rPr>
        <w:sz w:val="6"/>
        <w:szCs w:val="6"/>
      </w:rPr>
    </w:pPr>
  </w:p>
  <w:p w14:paraId="6A5D725D" w14:textId="77777777"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8A02" w14:textId="77777777"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590" w14:textId="77777777" w:rsidR="006D40B3" w:rsidRDefault="006D40B3" w:rsidP="00534F7F">
      <w:pPr>
        <w:spacing w:after="0" w:line="240" w:lineRule="auto"/>
      </w:pPr>
      <w:r>
        <w:separator/>
      </w:r>
    </w:p>
  </w:footnote>
  <w:footnote w:type="continuationSeparator" w:id="0">
    <w:p w14:paraId="5A1E2486" w14:textId="77777777" w:rsidR="006D40B3" w:rsidRDefault="006D40B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C56E" w14:textId="77777777"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14:paraId="42115C3A" w14:textId="77777777" w:rsidTr="00D04D2D">
      <w:trPr>
        <w:trHeight w:val="189"/>
      </w:trPr>
      <w:tc>
        <w:tcPr>
          <w:tcW w:w="2547" w:type="dxa"/>
          <w:vMerge w:val="restart"/>
        </w:tcPr>
        <w:p w14:paraId="0DB0439A"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532C148E" wp14:editId="5D1D7EAD">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14:paraId="3E1E2192" w14:textId="77777777"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4FAA17A"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E118B14" w14:textId="77777777"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14:paraId="0F7399BB" w14:textId="77777777" w:rsidTr="00D04D2D">
      <w:trPr>
        <w:trHeight w:val="187"/>
      </w:trPr>
      <w:tc>
        <w:tcPr>
          <w:tcW w:w="2547" w:type="dxa"/>
          <w:vMerge/>
        </w:tcPr>
        <w:p w14:paraId="2F0BEE5E"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77C4690E"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4FF4748"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05E5F1D" w14:textId="77777777"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14:paraId="7086EE66" w14:textId="77777777" w:rsidTr="00D04D2D">
      <w:trPr>
        <w:trHeight w:val="187"/>
      </w:trPr>
      <w:tc>
        <w:tcPr>
          <w:tcW w:w="2547" w:type="dxa"/>
          <w:vMerge/>
        </w:tcPr>
        <w:p w14:paraId="60DD4544"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23B73399"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6432BA7"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9EE92EB"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583F83F2" w14:textId="77777777" w:rsidTr="00D04D2D">
      <w:trPr>
        <w:trHeight w:val="220"/>
      </w:trPr>
      <w:tc>
        <w:tcPr>
          <w:tcW w:w="2547" w:type="dxa"/>
          <w:vMerge/>
        </w:tcPr>
        <w:p w14:paraId="0374C5A1"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31CE6DA8"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7519A66"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09D291F"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17B5B428" w14:textId="77777777"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4DBE" w14:textId="77777777"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DDB"/>
    <w:rsid w:val="000B5CD3"/>
    <w:rsid w:val="00116355"/>
    <w:rsid w:val="001368C2"/>
    <w:rsid w:val="0015666B"/>
    <w:rsid w:val="00164950"/>
    <w:rsid w:val="001F16FF"/>
    <w:rsid w:val="0020508C"/>
    <w:rsid w:val="00243958"/>
    <w:rsid w:val="00271BDB"/>
    <w:rsid w:val="002D0BA1"/>
    <w:rsid w:val="002F0FD6"/>
    <w:rsid w:val="00322432"/>
    <w:rsid w:val="003230A8"/>
    <w:rsid w:val="00362975"/>
    <w:rsid w:val="003C0F72"/>
    <w:rsid w:val="003D72D5"/>
    <w:rsid w:val="00406E3A"/>
    <w:rsid w:val="004232E9"/>
    <w:rsid w:val="00437CF7"/>
    <w:rsid w:val="004B24B6"/>
    <w:rsid w:val="00534F7F"/>
    <w:rsid w:val="00561AEB"/>
    <w:rsid w:val="00587671"/>
    <w:rsid w:val="005B0C52"/>
    <w:rsid w:val="005B25C0"/>
    <w:rsid w:val="006319F6"/>
    <w:rsid w:val="00634E90"/>
    <w:rsid w:val="0064705C"/>
    <w:rsid w:val="006D40B3"/>
    <w:rsid w:val="00846AD8"/>
    <w:rsid w:val="008B1B67"/>
    <w:rsid w:val="00900183"/>
    <w:rsid w:val="00925B46"/>
    <w:rsid w:val="009A0B72"/>
    <w:rsid w:val="00A5214F"/>
    <w:rsid w:val="00BE2656"/>
    <w:rsid w:val="00BE3E80"/>
    <w:rsid w:val="00CC3E17"/>
    <w:rsid w:val="00CF5DBC"/>
    <w:rsid w:val="00D00CA5"/>
    <w:rsid w:val="00D04D2D"/>
    <w:rsid w:val="00D23B84"/>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0D9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BE26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E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692">
      <w:bodyDiv w:val="1"/>
      <w:marLeft w:val="0"/>
      <w:marRight w:val="0"/>
      <w:marTop w:val="0"/>
      <w:marBottom w:val="0"/>
      <w:divBdr>
        <w:top w:val="none" w:sz="0" w:space="0" w:color="auto"/>
        <w:left w:val="none" w:sz="0" w:space="0" w:color="auto"/>
        <w:bottom w:val="none" w:sz="0" w:space="0" w:color="auto"/>
        <w:right w:val="none" w:sz="0" w:space="0" w:color="auto"/>
      </w:divBdr>
    </w:div>
    <w:div w:id="10090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tuğba delialioğlu</cp:lastModifiedBy>
  <cp:revision>5</cp:revision>
  <cp:lastPrinted>2021-04-17T01:18:00Z</cp:lastPrinted>
  <dcterms:created xsi:type="dcterms:W3CDTF">2021-04-17T01:17:00Z</dcterms:created>
  <dcterms:modified xsi:type="dcterms:W3CDTF">2021-04-17T01:18:00Z</dcterms:modified>
</cp:coreProperties>
</file>