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1B3566" w14:paraId="54F7C313" w14:textId="77777777" w:rsidTr="006319F6">
        <w:tc>
          <w:tcPr>
            <w:tcW w:w="2508" w:type="dxa"/>
            <w:vMerge w:val="restart"/>
            <w:shd w:val="clear" w:color="auto" w:fill="F2F2F2" w:themeFill="background1" w:themeFillShade="F2"/>
            <w:vAlign w:val="center"/>
          </w:tcPr>
          <w:p w14:paraId="4BEF0988" w14:textId="77777777" w:rsidR="006319F6" w:rsidRPr="001B3566" w:rsidRDefault="006319F6" w:rsidP="006319F6">
            <w:pPr>
              <w:pStyle w:val="AralkYok"/>
              <w:jc w:val="right"/>
              <w:rPr>
                <w:rFonts w:ascii="Cambria" w:hAnsi="Cambria"/>
                <w:b/>
                <w:bCs/>
                <w:color w:val="002060"/>
              </w:rPr>
            </w:pPr>
            <w:r w:rsidRPr="001B3566">
              <w:rPr>
                <w:rFonts w:ascii="Cambria" w:hAnsi="Cambria"/>
                <w:b/>
                <w:bCs/>
                <w:color w:val="002060"/>
              </w:rPr>
              <w:t>Doküman Türü</w:t>
            </w:r>
          </w:p>
        </w:tc>
        <w:sdt>
          <w:sdtPr>
            <w:rPr>
              <w:rFonts w:ascii="Cambria" w:hAnsi="Cambria"/>
              <w:b/>
              <w:bCs/>
            </w:rPr>
            <w:id w:val="-1119378844"/>
            <w14:checkbox>
              <w14:checked w14:val="0"/>
              <w14:checkedState w14:val="2612" w14:font="MS Gothic"/>
              <w14:uncheckedState w14:val="2610" w14:font="MS Gothic"/>
            </w14:checkbox>
          </w:sdtPr>
          <w:sdtEndPr/>
          <w:sdtContent>
            <w:tc>
              <w:tcPr>
                <w:tcW w:w="457" w:type="dxa"/>
                <w:tcBorders>
                  <w:bottom w:val="nil"/>
                  <w:right w:val="nil"/>
                </w:tcBorders>
                <w:vAlign w:val="center"/>
              </w:tcPr>
              <w:p w14:paraId="2C4D93E1" w14:textId="77777777" w:rsidR="006319F6" w:rsidRPr="001B3566" w:rsidRDefault="006319F6" w:rsidP="006319F6">
                <w:pPr>
                  <w:pStyle w:val="AralkYok"/>
                  <w:rPr>
                    <w:rFonts w:ascii="Cambria" w:hAnsi="Cambria"/>
                    <w:b/>
                    <w:bCs/>
                  </w:rPr>
                </w:pPr>
                <w:r w:rsidRPr="001B3566">
                  <w:rPr>
                    <w:rFonts w:ascii="Segoe UI Symbol" w:eastAsia="MS Gothic" w:hAnsi="Segoe UI Symbol" w:cs="Segoe UI Symbol"/>
                    <w:b/>
                    <w:bCs/>
                  </w:rPr>
                  <w:t>☐</w:t>
                </w:r>
              </w:p>
            </w:tc>
          </w:sdtContent>
        </w:sdt>
        <w:tc>
          <w:tcPr>
            <w:tcW w:w="2532" w:type="dxa"/>
            <w:tcBorders>
              <w:left w:val="nil"/>
              <w:bottom w:val="nil"/>
              <w:right w:val="nil"/>
            </w:tcBorders>
            <w:vAlign w:val="center"/>
          </w:tcPr>
          <w:p w14:paraId="372EE0AD" w14:textId="77777777" w:rsidR="006319F6" w:rsidRPr="001B3566" w:rsidRDefault="006319F6" w:rsidP="006319F6">
            <w:pPr>
              <w:pStyle w:val="AralkYok"/>
              <w:rPr>
                <w:rFonts w:ascii="Cambria" w:hAnsi="Cambria"/>
                <w:b/>
                <w:bCs/>
              </w:rPr>
            </w:pPr>
            <w:r w:rsidRPr="001B3566">
              <w:rPr>
                <w:rFonts w:ascii="Cambria" w:hAnsi="Cambria"/>
                <w:b/>
                <w:bCs/>
              </w:rPr>
              <w:t>Kanun</w:t>
            </w:r>
          </w:p>
        </w:tc>
        <w:sdt>
          <w:sdtPr>
            <w:rPr>
              <w:rFonts w:ascii="Cambria" w:hAnsi="Cambria"/>
              <w:b/>
              <w:bCs/>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1C6E20B2" w14:textId="77777777" w:rsidR="006319F6" w:rsidRPr="001B3566" w:rsidRDefault="006319F6" w:rsidP="006319F6">
                <w:pPr>
                  <w:pStyle w:val="AralkYok"/>
                  <w:rPr>
                    <w:rFonts w:ascii="Cambria" w:hAnsi="Cambria"/>
                    <w:b/>
                    <w:bCs/>
                  </w:rPr>
                </w:pPr>
                <w:r w:rsidRPr="001B3566">
                  <w:rPr>
                    <w:rFonts w:ascii="Segoe UI Symbol" w:eastAsia="MS Gothic" w:hAnsi="Segoe UI Symbol" w:cs="Segoe UI Symbol"/>
                    <w:b/>
                    <w:bCs/>
                  </w:rPr>
                  <w:t>☐</w:t>
                </w:r>
              </w:p>
            </w:tc>
          </w:sdtContent>
        </w:sdt>
        <w:tc>
          <w:tcPr>
            <w:tcW w:w="2519" w:type="dxa"/>
            <w:tcBorders>
              <w:left w:val="nil"/>
              <w:bottom w:val="nil"/>
              <w:right w:val="nil"/>
            </w:tcBorders>
            <w:vAlign w:val="center"/>
          </w:tcPr>
          <w:p w14:paraId="47E909F5" w14:textId="77777777" w:rsidR="006319F6" w:rsidRPr="001B3566" w:rsidRDefault="006319F6" w:rsidP="006319F6">
            <w:pPr>
              <w:pStyle w:val="AralkYok"/>
              <w:rPr>
                <w:rFonts w:ascii="Cambria" w:hAnsi="Cambria"/>
                <w:b/>
                <w:bCs/>
              </w:rPr>
            </w:pPr>
            <w:r w:rsidRPr="001B3566">
              <w:rPr>
                <w:rFonts w:ascii="Cambria" w:hAnsi="Cambria"/>
                <w:b/>
                <w:bCs/>
              </w:rPr>
              <w:t>CB Kararnamesi</w:t>
            </w:r>
          </w:p>
        </w:tc>
        <w:sdt>
          <w:sdtPr>
            <w:rPr>
              <w:rFonts w:ascii="Cambria" w:hAnsi="Cambria"/>
              <w:b/>
              <w:bCs/>
            </w:rPr>
            <w:id w:val="-2104552926"/>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522FC5CF" w14:textId="77777777" w:rsidR="006319F6" w:rsidRPr="001B3566" w:rsidRDefault="006319F6" w:rsidP="006319F6">
                <w:pPr>
                  <w:pStyle w:val="AralkYok"/>
                  <w:rPr>
                    <w:rFonts w:ascii="Cambria" w:hAnsi="Cambria"/>
                    <w:b/>
                    <w:bCs/>
                  </w:rPr>
                </w:pPr>
                <w:r w:rsidRPr="001B3566">
                  <w:rPr>
                    <w:rFonts w:ascii="Segoe UI Symbol" w:eastAsia="MS Gothic" w:hAnsi="Segoe UI Symbol" w:cs="Segoe UI Symbol"/>
                    <w:b/>
                    <w:bCs/>
                  </w:rPr>
                  <w:t>☐</w:t>
                </w:r>
              </w:p>
            </w:tc>
          </w:sdtContent>
        </w:sdt>
        <w:tc>
          <w:tcPr>
            <w:tcW w:w="2584" w:type="dxa"/>
            <w:tcBorders>
              <w:left w:val="nil"/>
              <w:bottom w:val="nil"/>
              <w:right w:val="nil"/>
            </w:tcBorders>
            <w:vAlign w:val="center"/>
          </w:tcPr>
          <w:p w14:paraId="0DC46CD2" w14:textId="77777777" w:rsidR="006319F6" w:rsidRPr="001B3566" w:rsidRDefault="006319F6" w:rsidP="006319F6">
            <w:pPr>
              <w:pStyle w:val="AralkYok"/>
              <w:rPr>
                <w:rFonts w:ascii="Cambria" w:hAnsi="Cambria"/>
                <w:b/>
                <w:bCs/>
              </w:rPr>
            </w:pPr>
            <w:r w:rsidRPr="001B3566">
              <w:rPr>
                <w:rFonts w:ascii="Cambria" w:hAnsi="Cambria"/>
                <w:b/>
                <w:bCs/>
              </w:rPr>
              <w:t>CB Kararı</w:t>
            </w:r>
          </w:p>
        </w:tc>
        <w:sdt>
          <w:sdtPr>
            <w:rPr>
              <w:rFonts w:ascii="Cambria" w:hAnsi="Cambria"/>
              <w:b/>
              <w:bCs/>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438F66DE" w14:textId="77777777" w:rsidR="006319F6" w:rsidRPr="001B3566" w:rsidRDefault="006319F6" w:rsidP="006319F6">
                <w:pPr>
                  <w:pStyle w:val="AralkYok"/>
                  <w:rPr>
                    <w:rFonts w:ascii="Cambria" w:hAnsi="Cambria"/>
                    <w:b/>
                    <w:bCs/>
                  </w:rPr>
                </w:pPr>
                <w:r w:rsidRPr="001B3566">
                  <w:rPr>
                    <w:rFonts w:ascii="Segoe UI Symbol" w:eastAsia="MS Gothic" w:hAnsi="Segoe UI Symbol" w:cs="Segoe UI Symbol"/>
                    <w:b/>
                    <w:bCs/>
                  </w:rPr>
                  <w:t>☐</w:t>
                </w:r>
              </w:p>
            </w:tc>
          </w:sdtContent>
        </w:sdt>
        <w:tc>
          <w:tcPr>
            <w:tcW w:w="2649" w:type="dxa"/>
            <w:tcBorders>
              <w:left w:val="nil"/>
              <w:bottom w:val="nil"/>
            </w:tcBorders>
            <w:vAlign w:val="center"/>
          </w:tcPr>
          <w:p w14:paraId="6F6A1D6D" w14:textId="77777777" w:rsidR="006319F6" w:rsidRPr="001B3566" w:rsidRDefault="006319F6" w:rsidP="006319F6">
            <w:pPr>
              <w:pStyle w:val="AralkYok"/>
              <w:rPr>
                <w:rFonts w:ascii="Cambria" w:hAnsi="Cambria"/>
                <w:b/>
                <w:bCs/>
              </w:rPr>
            </w:pPr>
            <w:r w:rsidRPr="001B3566">
              <w:rPr>
                <w:rFonts w:ascii="Cambria" w:hAnsi="Cambria"/>
                <w:b/>
                <w:bCs/>
              </w:rPr>
              <w:t>Tebliğ</w:t>
            </w:r>
          </w:p>
        </w:tc>
      </w:tr>
      <w:tr w:rsidR="006319F6" w:rsidRPr="001B3566" w14:paraId="4F276C1F" w14:textId="77777777" w:rsidTr="006319F6">
        <w:tc>
          <w:tcPr>
            <w:tcW w:w="2508" w:type="dxa"/>
            <w:vMerge/>
            <w:shd w:val="clear" w:color="auto" w:fill="F2F2F2" w:themeFill="background1" w:themeFillShade="F2"/>
            <w:vAlign w:val="center"/>
          </w:tcPr>
          <w:p w14:paraId="4003A012" w14:textId="77777777" w:rsidR="006319F6" w:rsidRPr="001B3566" w:rsidRDefault="006319F6" w:rsidP="004232E9">
            <w:pPr>
              <w:pStyle w:val="AralkYok"/>
              <w:jc w:val="right"/>
              <w:rPr>
                <w:rFonts w:ascii="Cambria" w:hAnsi="Cambria"/>
                <w:b/>
                <w:bCs/>
                <w:color w:val="002060"/>
              </w:rPr>
            </w:pPr>
          </w:p>
        </w:tc>
        <w:sdt>
          <w:sdtPr>
            <w:rPr>
              <w:rFonts w:ascii="Cambria" w:hAnsi="Cambria"/>
              <w:b/>
              <w:bCs/>
            </w:rPr>
            <w:id w:val="-1395648614"/>
            <w14:checkbox>
              <w14:checked w14:val="1"/>
              <w14:checkedState w14:val="2612" w14:font="MS Gothic"/>
              <w14:uncheckedState w14:val="2610" w14:font="MS Gothic"/>
            </w14:checkbox>
          </w:sdtPr>
          <w:sdtEndPr/>
          <w:sdtContent>
            <w:tc>
              <w:tcPr>
                <w:tcW w:w="457" w:type="dxa"/>
                <w:tcBorders>
                  <w:top w:val="nil"/>
                  <w:right w:val="nil"/>
                </w:tcBorders>
                <w:vAlign w:val="center"/>
              </w:tcPr>
              <w:p w14:paraId="6620A927" w14:textId="0E33378C" w:rsidR="006319F6" w:rsidRPr="001B3566" w:rsidRDefault="004C79C8" w:rsidP="005B0C52">
                <w:pPr>
                  <w:pStyle w:val="AralkYok"/>
                  <w:rPr>
                    <w:rFonts w:ascii="Cambria" w:hAnsi="Cambria"/>
                    <w:b/>
                    <w:bCs/>
                  </w:rPr>
                </w:pPr>
                <w:r w:rsidRPr="001B3566">
                  <w:rPr>
                    <w:rFonts w:ascii="Segoe UI Symbol" w:eastAsia="MS Gothic" w:hAnsi="Segoe UI Symbol" w:cs="Segoe UI Symbol"/>
                    <w:b/>
                    <w:bCs/>
                  </w:rPr>
                  <w:t>☒</w:t>
                </w:r>
              </w:p>
            </w:tc>
          </w:sdtContent>
        </w:sdt>
        <w:tc>
          <w:tcPr>
            <w:tcW w:w="2532" w:type="dxa"/>
            <w:tcBorders>
              <w:top w:val="nil"/>
              <w:left w:val="nil"/>
              <w:right w:val="nil"/>
            </w:tcBorders>
            <w:vAlign w:val="center"/>
          </w:tcPr>
          <w:p w14:paraId="0E063C79" w14:textId="77777777" w:rsidR="006319F6" w:rsidRPr="001B3566" w:rsidRDefault="006319F6" w:rsidP="005B0C52">
            <w:pPr>
              <w:pStyle w:val="AralkYok"/>
              <w:rPr>
                <w:rFonts w:ascii="Cambria" w:hAnsi="Cambria"/>
                <w:b/>
                <w:bCs/>
              </w:rPr>
            </w:pPr>
            <w:r w:rsidRPr="001B3566">
              <w:rPr>
                <w:rFonts w:ascii="Cambria" w:hAnsi="Cambria"/>
                <w:b/>
                <w:bCs/>
              </w:rPr>
              <w:t>Yönetmelik</w:t>
            </w:r>
          </w:p>
        </w:tc>
        <w:sdt>
          <w:sdtPr>
            <w:rPr>
              <w:rFonts w:ascii="Cambria" w:hAnsi="Cambria"/>
              <w:b/>
              <w:bCs/>
            </w:rPr>
            <w:id w:val="-1240561184"/>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204AB8BD" w14:textId="77777777" w:rsidR="006319F6" w:rsidRPr="001B3566" w:rsidRDefault="006319F6" w:rsidP="005B0C52">
                <w:pPr>
                  <w:pStyle w:val="AralkYok"/>
                  <w:rPr>
                    <w:rFonts w:ascii="Cambria" w:hAnsi="Cambria"/>
                    <w:b/>
                    <w:bCs/>
                  </w:rPr>
                </w:pPr>
                <w:r w:rsidRPr="001B3566">
                  <w:rPr>
                    <w:rFonts w:ascii="Segoe UI Symbol" w:eastAsia="MS Gothic" w:hAnsi="Segoe UI Symbol" w:cs="Segoe UI Symbol"/>
                    <w:b/>
                    <w:bCs/>
                  </w:rPr>
                  <w:t>☐</w:t>
                </w:r>
              </w:p>
            </w:tc>
          </w:sdtContent>
        </w:sdt>
        <w:tc>
          <w:tcPr>
            <w:tcW w:w="2519" w:type="dxa"/>
            <w:tcBorders>
              <w:top w:val="nil"/>
              <w:left w:val="nil"/>
              <w:right w:val="nil"/>
            </w:tcBorders>
            <w:vAlign w:val="center"/>
          </w:tcPr>
          <w:p w14:paraId="6D9DE8C6" w14:textId="77777777" w:rsidR="006319F6" w:rsidRPr="001B3566" w:rsidRDefault="006319F6" w:rsidP="005B0C52">
            <w:pPr>
              <w:pStyle w:val="AralkYok"/>
              <w:rPr>
                <w:rFonts w:ascii="Cambria" w:hAnsi="Cambria"/>
                <w:b/>
                <w:bCs/>
              </w:rPr>
            </w:pPr>
            <w:r w:rsidRPr="001B3566">
              <w:rPr>
                <w:rFonts w:ascii="Cambria" w:hAnsi="Cambria"/>
                <w:b/>
                <w:bCs/>
              </w:rPr>
              <w:t>Yönerge</w:t>
            </w:r>
          </w:p>
        </w:tc>
        <w:sdt>
          <w:sdtPr>
            <w:rPr>
              <w:rFonts w:ascii="Cambria" w:hAnsi="Cambria"/>
              <w:b/>
              <w:bCs/>
            </w:rPr>
            <w:id w:val="-1004193508"/>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5DF7E405" w14:textId="77777777" w:rsidR="006319F6" w:rsidRPr="001B3566" w:rsidRDefault="006319F6" w:rsidP="005B0C52">
                <w:pPr>
                  <w:pStyle w:val="AralkYok"/>
                  <w:rPr>
                    <w:rFonts w:ascii="Cambria" w:hAnsi="Cambria"/>
                    <w:b/>
                    <w:bCs/>
                  </w:rPr>
                </w:pPr>
                <w:r w:rsidRPr="001B3566">
                  <w:rPr>
                    <w:rFonts w:ascii="Segoe UI Symbol" w:eastAsia="MS Gothic" w:hAnsi="Segoe UI Symbol" w:cs="Segoe UI Symbol"/>
                    <w:b/>
                    <w:bCs/>
                  </w:rPr>
                  <w:t>☐</w:t>
                </w:r>
              </w:p>
            </w:tc>
          </w:sdtContent>
        </w:sdt>
        <w:tc>
          <w:tcPr>
            <w:tcW w:w="2584" w:type="dxa"/>
            <w:tcBorders>
              <w:top w:val="nil"/>
              <w:left w:val="nil"/>
              <w:right w:val="nil"/>
            </w:tcBorders>
            <w:vAlign w:val="center"/>
          </w:tcPr>
          <w:p w14:paraId="09F389D5" w14:textId="77777777" w:rsidR="006319F6" w:rsidRPr="001B3566" w:rsidRDefault="006319F6" w:rsidP="005B0C52">
            <w:pPr>
              <w:pStyle w:val="AralkYok"/>
              <w:rPr>
                <w:rFonts w:ascii="Cambria" w:hAnsi="Cambria"/>
                <w:b/>
                <w:bCs/>
              </w:rPr>
            </w:pPr>
            <w:r w:rsidRPr="001B3566">
              <w:rPr>
                <w:rFonts w:ascii="Cambria" w:hAnsi="Cambria"/>
                <w:b/>
                <w:bCs/>
              </w:rPr>
              <w:t>Esas ve Usul</w:t>
            </w:r>
          </w:p>
        </w:tc>
        <w:sdt>
          <w:sdtPr>
            <w:rPr>
              <w:rFonts w:ascii="Cambria" w:hAnsi="Cambria"/>
              <w:b/>
              <w:bCs/>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5EFB6713" w14:textId="77777777" w:rsidR="006319F6" w:rsidRPr="001B3566" w:rsidRDefault="006319F6" w:rsidP="005B0C52">
                <w:pPr>
                  <w:pStyle w:val="AralkYok"/>
                  <w:rPr>
                    <w:rFonts w:ascii="Cambria" w:hAnsi="Cambria"/>
                    <w:b/>
                    <w:bCs/>
                  </w:rPr>
                </w:pPr>
                <w:r w:rsidRPr="001B3566">
                  <w:rPr>
                    <w:rFonts w:ascii="Segoe UI Symbol" w:eastAsia="MS Gothic" w:hAnsi="Segoe UI Symbol" w:cs="Segoe UI Symbol"/>
                    <w:b/>
                    <w:bCs/>
                  </w:rPr>
                  <w:t>☐</w:t>
                </w:r>
              </w:p>
            </w:tc>
          </w:sdtContent>
        </w:sdt>
        <w:tc>
          <w:tcPr>
            <w:tcW w:w="2649" w:type="dxa"/>
            <w:tcBorders>
              <w:top w:val="nil"/>
              <w:left w:val="nil"/>
            </w:tcBorders>
            <w:vAlign w:val="center"/>
          </w:tcPr>
          <w:p w14:paraId="6DAE34AB" w14:textId="77777777" w:rsidR="006319F6" w:rsidRPr="001B3566" w:rsidRDefault="006319F6" w:rsidP="005B0C52">
            <w:pPr>
              <w:pStyle w:val="AralkYok"/>
              <w:rPr>
                <w:rFonts w:ascii="Cambria" w:hAnsi="Cambria"/>
                <w:b/>
                <w:bCs/>
              </w:rPr>
            </w:pPr>
            <w:r w:rsidRPr="001B3566">
              <w:rPr>
                <w:rFonts w:ascii="Cambria" w:hAnsi="Cambria"/>
                <w:b/>
                <w:bCs/>
              </w:rPr>
              <w:t>Sözleşme/Protokol</w:t>
            </w:r>
          </w:p>
        </w:tc>
      </w:tr>
      <w:tr w:rsidR="009A0B72" w:rsidRPr="001B3566" w14:paraId="0C7377BB" w14:textId="77777777" w:rsidTr="006319F6">
        <w:tc>
          <w:tcPr>
            <w:tcW w:w="2508" w:type="dxa"/>
            <w:shd w:val="clear" w:color="auto" w:fill="F2F2F2" w:themeFill="background1" w:themeFillShade="F2"/>
            <w:vAlign w:val="center"/>
          </w:tcPr>
          <w:p w14:paraId="366BBF99" w14:textId="77777777" w:rsidR="009A0B72" w:rsidRPr="001B3566" w:rsidRDefault="009A0B72" w:rsidP="009A0B72">
            <w:pPr>
              <w:pStyle w:val="AralkYok"/>
              <w:jc w:val="right"/>
              <w:rPr>
                <w:rFonts w:ascii="Cambria" w:hAnsi="Cambria"/>
                <w:b/>
                <w:bCs/>
                <w:color w:val="002060"/>
              </w:rPr>
            </w:pPr>
            <w:r w:rsidRPr="001B3566">
              <w:rPr>
                <w:rFonts w:ascii="Cambria" w:hAnsi="Cambria"/>
                <w:b/>
                <w:bCs/>
                <w:color w:val="002060"/>
              </w:rPr>
              <w:t>Doküman Adı</w:t>
            </w:r>
          </w:p>
        </w:tc>
        <w:tc>
          <w:tcPr>
            <w:tcW w:w="12052" w:type="dxa"/>
            <w:gridSpan w:val="8"/>
            <w:vAlign w:val="center"/>
          </w:tcPr>
          <w:p w14:paraId="5EA21E5B" w14:textId="7951DCE1" w:rsidR="009A0B72" w:rsidRPr="001B3566" w:rsidRDefault="007B0983" w:rsidP="005B0C52">
            <w:pPr>
              <w:pStyle w:val="AralkYok"/>
              <w:rPr>
                <w:rFonts w:ascii="Cambria" w:hAnsi="Cambria"/>
                <w:b/>
                <w:bCs/>
                <w:color w:val="002060"/>
              </w:rPr>
            </w:pPr>
            <w:hyperlink r:id="rId6" w:history="1">
              <w:r w:rsidR="004C79C8" w:rsidRPr="001B3566">
                <w:rPr>
                  <w:rStyle w:val="Kpr"/>
                  <w:rFonts w:ascii="Cambria" w:hAnsi="Cambria"/>
                  <w:b/>
                  <w:bCs/>
                </w:rPr>
                <w:t xml:space="preserve">Öğretim Üyesi Dışındaki Öğretim Elemanı Kadrolarına Yapılacak Atamalarda Uygulanacak Merkezi Sınav </w:t>
              </w:r>
              <w:proofErr w:type="gramStart"/>
              <w:r w:rsidR="004C79C8" w:rsidRPr="001B3566">
                <w:rPr>
                  <w:rStyle w:val="Kpr"/>
                  <w:rFonts w:ascii="Cambria" w:hAnsi="Cambria"/>
                  <w:b/>
                  <w:bCs/>
                </w:rPr>
                <w:t>İle</w:t>
              </w:r>
              <w:proofErr w:type="gramEnd"/>
              <w:r w:rsidR="004C79C8" w:rsidRPr="001B3566">
                <w:rPr>
                  <w:rStyle w:val="Kpr"/>
                  <w:rFonts w:ascii="Cambria" w:hAnsi="Cambria"/>
                  <w:b/>
                  <w:bCs/>
                </w:rPr>
                <w:t xml:space="preserve"> Giriş Sınavlarına İlişkin Yönetmelik</w:t>
              </w:r>
            </w:hyperlink>
          </w:p>
        </w:tc>
      </w:tr>
    </w:tbl>
    <w:p w14:paraId="44C4FF46" w14:textId="77777777" w:rsidR="00BE3E80" w:rsidRPr="001B3566" w:rsidRDefault="00BE3E80" w:rsidP="005B0C52">
      <w:pPr>
        <w:pStyle w:val="AralkYok"/>
        <w:rPr>
          <w:rFonts w:ascii="Cambria" w:hAnsi="Cambria"/>
          <w:b/>
          <w:bCs/>
          <w:color w:val="002060"/>
        </w:rPr>
      </w:pPr>
    </w:p>
    <w:tbl>
      <w:tblPr>
        <w:tblStyle w:val="TabloKlavuzuAk"/>
        <w:tblW w:w="0" w:type="auto"/>
        <w:tblLook w:val="04A0" w:firstRow="1" w:lastRow="0" w:firstColumn="1" w:lastColumn="0" w:noHBand="0" w:noVBand="1"/>
      </w:tblPr>
      <w:tblGrid>
        <w:gridCol w:w="7280"/>
        <w:gridCol w:w="7280"/>
      </w:tblGrid>
      <w:tr w:rsidR="009A0B72" w:rsidRPr="001B3566" w14:paraId="49BC770D" w14:textId="77777777" w:rsidTr="009A0B72">
        <w:tc>
          <w:tcPr>
            <w:tcW w:w="7280" w:type="dxa"/>
            <w:shd w:val="clear" w:color="auto" w:fill="F2F2F2" w:themeFill="background1" w:themeFillShade="F2"/>
          </w:tcPr>
          <w:p w14:paraId="5481FF10" w14:textId="77777777" w:rsidR="009A0B72" w:rsidRPr="001B3566" w:rsidRDefault="009A0B72" w:rsidP="009A0B72">
            <w:pPr>
              <w:pStyle w:val="AralkYok"/>
              <w:jc w:val="center"/>
              <w:rPr>
                <w:rFonts w:ascii="Cambria" w:hAnsi="Cambria"/>
                <w:b/>
                <w:bCs/>
                <w:color w:val="002060"/>
              </w:rPr>
            </w:pPr>
            <w:r w:rsidRPr="001B3566">
              <w:rPr>
                <w:rFonts w:ascii="Cambria" w:hAnsi="Cambria"/>
                <w:b/>
                <w:bCs/>
                <w:color w:val="002060"/>
              </w:rPr>
              <w:t>ESKİ ŞEKLİ</w:t>
            </w:r>
          </w:p>
        </w:tc>
        <w:tc>
          <w:tcPr>
            <w:tcW w:w="7280" w:type="dxa"/>
            <w:shd w:val="clear" w:color="auto" w:fill="F2F2F2" w:themeFill="background1" w:themeFillShade="F2"/>
          </w:tcPr>
          <w:p w14:paraId="1A22F277" w14:textId="77777777" w:rsidR="009A0B72" w:rsidRPr="001B3566" w:rsidRDefault="009A0B72" w:rsidP="009A0B72">
            <w:pPr>
              <w:pStyle w:val="AralkYok"/>
              <w:jc w:val="center"/>
              <w:rPr>
                <w:rFonts w:ascii="Cambria" w:hAnsi="Cambria"/>
                <w:b/>
                <w:bCs/>
                <w:color w:val="002060"/>
              </w:rPr>
            </w:pPr>
            <w:r w:rsidRPr="001B3566">
              <w:rPr>
                <w:rFonts w:ascii="Cambria" w:hAnsi="Cambria"/>
                <w:b/>
                <w:bCs/>
                <w:color w:val="002060"/>
              </w:rPr>
              <w:t>YENİ ŞEKLİ</w:t>
            </w:r>
          </w:p>
        </w:tc>
      </w:tr>
      <w:tr w:rsidR="009A0B72" w:rsidRPr="00A639E0" w14:paraId="46F20CE5" w14:textId="77777777" w:rsidTr="009A0B72">
        <w:tc>
          <w:tcPr>
            <w:tcW w:w="7280" w:type="dxa"/>
          </w:tcPr>
          <w:p w14:paraId="7EA18F41" w14:textId="77777777" w:rsidR="004C79C8" w:rsidRPr="004C79C8" w:rsidRDefault="004C79C8" w:rsidP="004C79C8">
            <w:pPr>
              <w:spacing w:after="0" w:line="240" w:lineRule="auto"/>
              <w:jc w:val="both"/>
              <w:rPr>
                <w:rFonts w:ascii="Cambria" w:eastAsia="Times New Roman" w:hAnsi="Cambria" w:cs="Times New Roman"/>
                <w:color w:val="000000"/>
                <w:lang w:eastAsia="tr-TR"/>
              </w:rPr>
            </w:pPr>
            <w:r w:rsidRPr="004C79C8">
              <w:rPr>
                <w:rFonts w:ascii="Cambria" w:eastAsia="Times New Roman" w:hAnsi="Cambria" w:cs="Times New Roman"/>
                <w:b/>
                <w:bCs/>
                <w:color w:val="000000"/>
                <w:lang w:eastAsia="tr-TR"/>
              </w:rPr>
              <w:t>Özel şartlar</w:t>
            </w:r>
          </w:p>
          <w:p w14:paraId="5E3013EC" w14:textId="4BF228BF" w:rsidR="009A0B72" w:rsidRPr="00A639E0" w:rsidRDefault="004C79C8" w:rsidP="004C79C8">
            <w:pPr>
              <w:spacing w:after="0" w:line="240" w:lineRule="auto"/>
              <w:jc w:val="both"/>
              <w:rPr>
                <w:rFonts w:ascii="Cambria" w:hAnsi="Cambria"/>
                <w:bCs/>
              </w:rPr>
            </w:pPr>
            <w:r w:rsidRPr="004C79C8">
              <w:rPr>
                <w:rFonts w:ascii="Cambria" w:eastAsia="Times New Roman" w:hAnsi="Cambria" w:cs="Times New Roman"/>
                <w:b/>
                <w:bCs/>
                <w:color w:val="000000"/>
                <w:lang w:eastAsia="tr-TR"/>
              </w:rPr>
              <w:t>MADDE 7 –</w:t>
            </w:r>
            <w:r w:rsidRPr="004C79C8">
              <w:rPr>
                <w:rFonts w:ascii="Cambria" w:eastAsia="Times New Roman" w:hAnsi="Cambria" w:cs="Times New Roman"/>
                <w:color w:val="000000"/>
                <w:lang w:eastAsia="tr-TR"/>
              </w:rPr>
              <w:t> (1) Devlet yükseköğretim kurumlarının araştırma görevlisi kadrolarına başvurularda tezli yüksek lisans, doktora veya sanatta yeterlik eğitimi öğrencisi olmak şartı aranır.</w:t>
            </w:r>
          </w:p>
        </w:tc>
        <w:tc>
          <w:tcPr>
            <w:tcW w:w="7280" w:type="dxa"/>
          </w:tcPr>
          <w:p w14:paraId="7AEADE17" w14:textId="77777777" w:rsidR="001B3566" w:rsidRPr="004C79C8" w:rsidRDefault="001B3566" w:rsidP="001B3566">
            <w:pPr>
              <w:spacing w:after="0" w:line="240" w:lineRule="auto"/>
              <w:jc w:val="both"/>
              <w:rPr>
                <w:rFonts w:ascii="Cambria" w:eastAsia="Times New Roman" w:hAnsi="Cambria" w:cs="Times New Roman"/>
                <w:color w:val="000000"/>
                <w:lang w:eastAsia="tr-TR"/>
              </w:rPr>
            </w:pPr>
            <w:r w:rsidRPr="004C79C8">
              <w:rPr>
                <w:rFonts w:ascii="Cambria" w:eastAsia="Times New Roman" w:hAnsi="Cambria" w:cs="Times New Roman"/>
                <w:b/>
                <w:bCs/>
                <w:color w:val="000000"/>
                <w:lang w:eastAsia="tr-TR"/>
              </w:rPr>
              <w:t>Özel şartlar</w:t>
            </w:r>
          </w:p>
          <w:p w14:paraId="75793BA5" w14:textId="1A755391" w:rsidR="009A0B72" w:rsidRPr="00A639E0" w:rsidRDefault="001B3566" w:rsidP="001B3566">
            <w:pPr>
              <w:pStyle w:val="AralkYok"/>
              <w:jc w:val="both"/>
              <w:rPr>
                <w:rFonts w:ascii="Cambria" w:eastAsia="Times New Roman" w:hAnsi="Cambria" w:cs="Times New Roman"/>
                <w:b/>
                <w:bCs/>
                <w:lang w:eastAsia="tr-TR"/>
              </w:rPr>
            </w:pPr>
            <w:r w:rsidRPr="004C79C8">
              <w:rPr>
                <w:rFonts w:ascii="Cambria" w:eastAsia="Times New Roman" w:hAnsi="Cambria" w:cs="Times New Roman"/>
                <w:b/>
                <w:bCs/>
                <w:color w:val="000000"/>
                <w:lang w:eastAsia="tr-TR"/>
              </w:rPr>
              <w:t>MADDE 7 –</w:t>
            </w:r>
            <w:r w:rsidRPr="004C79C8">
              <w:rPr>
                <w:rFonts w:ascii="Cambria" w:eastAsia="Times New Roman" w:hAnsi="Cambria" w:cs="Times New Roman"/>
                <w:color w:val="000000"/>
                <w:lang w:eastAsia="tr-TR"/>
              </w:rPr>
              <w:t> (1) </w:t>
            </w:r>
            <w:r w:rsidRPr="00A639E0">
              <w:rPr>
                <w:rFonts w:ascii="Cambria" w:eastAsia="Times New Roman" w:hAnsi="Cambria" w:cs="Times New Roman"/>
                <w:b/>
                <w:bCs/>
                <w:color w:val="FF0000"/>
                <w:lang w:eastAsia="tr-TR"/>
              </w:rPr>
              <w:t xml:space="preserve">Araştırma görevlisi </w:t>
            </w:r>
            <w:r w:rsidRPr="00A639E0">
              <w:rPr>
                <w:rFonts w:ascii="Cambria" w:hAnsi="Cambria" w:cs="Times New Roman"/>
                <w:b/>
                <w:bCs/>
                <w:color w:val="FF0000"/>
              </w:rPr>
              <w:t>kadrosuna başvurabilmek için giriş sınavının yapıldığı yılın ocak ayının birinci günü itibarıyla otuz beş yaşını doldurmamış olmak gerekir</w:t>
            </w:r>
            <w:r w:rsidRPr="00A639E0">
              <w:rPr>
                <w:rFonts w:ascii="Cambria" w:hAnsi="Cambria" w:cs="Times New Roman"/>
              </w:rPr>
              <w:t xml:space="preserve">. </w:t>
            </w:r>
            <w:r w:rsidRPr="004C79C8">
              <w:rPr>
                <w:rFonts w:ascii="Cambria" w:eastAsia="Times New Roman" w:hAnsi="Cambria" w:cs="Times New Roman"/>
                <w:color w:val="000000"/>
                <w:lang w:eastAsia="tr-TR"/>
              </w:rPr>
              <w:t>Devlet yükseköğretim kurumlarının araştırma görevlisi kadrolarına başvurularda tezli yüksek lisans, doktora veya sanatta yeterlik eğitimi öğrencisi olmak şartı aranır.</w:t>
            </w:r>
          </w:p>
        </w:tc>
      </w:tr>
      <w:tr w:rsidR="00925B46" w:rsidRPr="00A639E0" w14:paraId="0FB6A8AA" w14:textId="77777777" w:rsidTr="009A0B72">
        <w:tc>
          <w:tcPr>
            <w:tcW w:w="7280" w:type="dxa"/>
          </w:tcPr>
          <w:p w14:paraId="34AF6F10" w14:textId="77777777" w:rsidR="004C79C8" w:rsidRPr="004C79C8" w:rsidRDefault="004C79C8" w:rsidP="004C79C8">
            <w:pPr>
              <w:spacing w:after="0" w:line="240" w:lineRule="auto"/>
              <w:jc w:val="both"/>
              <w:rPr>
                <w:rFonts w:ascii="Cambria" w:eastAsia="Times New Roman" w:hAnsi="Cambria" w:cs="Times New Roman"/>
                <w:color w:val="000000"/>
                <w:lang w:eastAsia="tr-TR"/>
              </w:rPr>
            </w:pPr>
            <w:r w:rsidRPr="004C79C8">
              <w:rPr>
                <w:rFonts w:ascii="Cambria" w:eastAsia="Times New Roman" w:hAnsi="Cambria" w:cs="Times New Roman"/>
                <w:b/>
                <w:bCs/>
                <w:color w:val="000000"/>
                <w:lang w:eastAsia="tr-TR"/>
              </w:rPr>
              <w:t>Özel şartlar</w:t>
            </w:r>
          </w:p>
          <w:p w14:paraId="4EE59305" w14:textId="7F8C63F0" w:rsidR="00925B46" w:rsidRPr="00A639E0" w:rsidRDefault="004C79C8" w:rsidP="004C79C8">
            <w:pPr>
              <w:pStyle w:val="AralkYok"/>
              <w:jc w:val="both"/>
              <w:rPr>
                <w:rFonts w:ascii="Cambria" w:hAnsi="Cambria"/>
                <w:bCs/>
              </w:rPr>
            </w:pPr>
            <w:r w:rsidRPr="004C79C8">
              <w:rPr>
                <w:rFonts w:ascii="Cambria" w:eastAsia="Times New Roman" w:hAnsi="Cambria" w:cs="Times New Roman"/>
                <w:b/>
                <w:bCs/>
                <w:color w:val="000000"/>
                <w:lang w:eastAsia="tr-TR"/>
              </w:rPr>
              <w:t>MADDE 7 –</w:t>
            </w:r>
            <w:r w:rsidRPr="004C79C8">
              <w:rPr>
                <w:rFonts w:ascii="Cambria" w:eastAsia="Times New Roman" w:hAnsi="Cambria" w:cs="Times New Roman"/>
                <w:color w:val="000000"/>
                <w:lang w:eastAsia="tr-TR"/>
              </w:rPr>
              <w:t> (</w:t>
            </w:r>
            <w:r w:rsidRPr="00A639E0">
              <w:rPr>
                <w:rFonts w:ascii="Cambria" w:eastAsia="Times New Roman" w:hAnsi="Cambria" w:cs="Times New Roman"/>
                <w:color w:val="000000"/>
                <w:lang w:eastAsia="tr-TR"/>
              </w:rPr>
              <w:t>4</w:t>
            </w:r>
            <w:proofErr w:type="gramStart"/>
            <w:r w:rsidRPr="004C79C8">
              <w:rPr>
                <w:rFonts w:ascii="Cambria" w:eastAsia="Times New Roman" w:hAnsi="Cambria" w:cs="Times New Roman"/>
                <w:color w:val="000000"/>
                <w:lang w:eastAsia="tr-TR"/>
              </w:rPr>
              <w:t>) </w:t>
            </w:r>
            <w:r w:rsidR="001B3566" w:rsidRPr="00A639E0">
              <w:rPr>
                <w:rFonts w:ascii="Cambria" w:hAnsi="Cambria"/>
                <w:b/>
                <w:bCs/>
                <w:color w:val="000000"/>
              </w:rPr>
              <w:t> </w:t>
            </w:r>
            <w:r w:rsidR="001B3566" w:rsidRPr="00A639E0">
              <w:rPr>
                <w:rFonts w:ascii="Cambria" w:hAnsi="Cambria"/>
                <w:strike/>
                <w:color w:val="FF0000"/>
              </w:rPr>
              <w:t>Meslek</w:t>
            </w:r>
            <w:proofErr w:type="gramEnd"/>
            <w:r w:rsidR="001B3566" w:rsidRPr="00A639E0">
              <w:rPr>
                <w:rFonts w:ascii="Cambria" w:hAnsi="Cambria"/>
                <w:strike/>
                <w:color w:val="FF0000"/>
              </w:rPr>
              <w:t xml:space="preserve"> yüksekokullarının Yükseköğretim Kurulu tarafından belirlenen uzmanlık alanlarındaki öğretim görevlisi kadrolarına başvuracak adaylarda en az tezli yüksek lisans derecesine sahip olmak ya da lisans mezunu olup belgelendirmek kaydıyla alanında en az iki yıl tecrübe sahibi olmak şartı aranır.</w:t>
            </w:r>
          </w:p>
        </w:tc>
        <w:tc>
          <w:tcPr>
            <w:tcW w:w="7280" w:type="dxa"/>
          </w:tcPr>
          <w:p w14:paraId="512A09BE" w14:textId="77777777" w:rsidR="001B3566" w:rsidRPr="004C79C8" w:rsidRDefault="001B3566" w:rsidP="001B3566">
            <w:pPr>
              <w:spacing w:after="0" w:line="240" w:lineRule="auto"/>
              <w:jc w:val="both"/>
              <w:rPr>
                <w:rFonts w:ascii="Cambria" w:eastAsia="Times New Roman" w:hAnsi="Cambria" w:cs="Times New Roman"/>
                <w:color w:val="000000"/>
                <w:lang w:eastAsia="tr-TR"/>
              </w:rPr>
            </w:pPr>
            <w:r w:rsidRPr="004C79C8">
              <w:rPr>
                <w:rFonts w:ascii="Cambria" w:eastAsia="Times New Roman" w:hAnsi="Cambria" w:cs="Times New Roman"/>
                <w:b/>
                <w:bCs/>
                <w:color w:val="000000"/>
                <w:lang w:eastAsia="tr-TR"/>
              </w:rPr>
              <w:t>Özel şartlar</w:t>
            </w:r>
          </w:p>
          <w:p w14:paraId="034F744B" w14:textId="54C4B0D0" w:rsidR="001B3566" w:rsidRPr="00A639E0" w:rsidRDefault="001B3566" w:rsidP="001B3566">
            <w:pPr>
              <w:spacing w:after="0" w:line="240" w:lineRule="auto"/>
              <w:jc w:val="both"/>
              <w:rPr>
                <w:rFonts w:ascii="Cambria" w:eastAsia="Times New Roman" w:hAnsi="Cambria" w:cs="Times New Roman"/>
                <w:b/>
                <w:color w:val="FF0000"/>
                <w:lang w:eastAsia="tr-TR"/>
              </w:rPr>
            </w:pPr>
            <w:r w:rsidRPr="004C79C8">
              <w:rPr>
                <w:rFonts w:ascii="Cambria" w:eastAsia="Times New Roman" w:hAnsi="Cambria" w:cs="Times New Roman"/>
                <w:b/>
                <w:bCs/>
                <w:color w:val="000000"/>
                <w:lang w:eastAsia="tr-TR"/>
              </w:rPr>
              <w:t>MADDE 7 –</w:t>
            </w:r>
            <w:r w:rsidRPr="004C79C8">
              <w:rPr>
                <w:rFonts w:ascii="Cambria" w:eastAsia="Times New Roman" w:hAnsi="Cambria" w:cs="Times New Roman"/>
                <w:color w:val="000000"/>
                <w:lang w:eastAsia="tr-TR"/>
              </w:rPr>
              <w:t> (</w:t>
            </w:r>
            <w:r w:rsidRPr="00A639E0">
              <w:rPr>
                <w:rFonts w:ascii="Cambria" w:eastAsia="Times New Roman" w:hAnsi="Cambria" w:cs="Times New Roman"/>
                <w:color w:val="000000"/>
                <w:lang w:eastAsia="tr-TR"/>
              </w:rPr>
              <w:t>4</w:t>
            </w:r>
            <w:r w:rsidRPr="004C79C8">
              <w:rPr>
                <w:rFonts w:ascii="Cambria" w:eastAsia="Times New Roman" w:hAnsi="Cambria" w:cs="Times New Roman"/>
                <w:color w:val="000000"/>
                <w:lang w:eastAsia="tr-TR"/>
              </w:rPr>
              <w:t>) </w:t>
            </w:r>
            <w:r w:rsidRPr="00A639E0">
              <w:rPr>
                <w:rFonts w:ascii="Cambria" w:eastAsia="Times New Roman" w:hAnsi="Cambria" w:cs="Times New Roman"/>
                <w:b/>
                <w:color w:val="FF0000"/>
                <w:lang w:eastAsia="tr-TR"/>
              </w:rPr>
              <w:t>Meslek yüksekokullarının Yükseköğretim Kurulu tarafından belirlenen, uzmanlık alanıyla doğrudan ilgili lisans mezuniyeti bulunmayan alanlardaki programların öğretim görevlisi kadrolarına başvuracak adaylarda, en az lisans mezunu olup belgelendirmek kaydıyla alanında en az iki yıl tecrübe sahibi olmak şartı aranır.</w:t>
            </w:r>
          </w:p>
          <w:p w14:paraId="5845FAE3" w14:textId="420B4154" w:rsidR="00925B46" w:rsidRPr="00A639E0" w:rsidRDefault="00E10F27" w:rsidP="001B3566">
            <w:pPr>
              <w:pStyle w:val="AralkYok"/>
              <w:jc w:val="both"/>
              <w:rPr>
                <w:rFonts w:ascii="Cambria" w:hAnsi="Cambria"/>
                <w:bCs/>
              </w:rPr>
            </w:pPr>
            <w:r>
              <w:rPr>
                <w:rFonts w:ascii="Cambria" w:eastAsia="Times New Roman" w:hAnsi="Cambria" w:cs="Times New Roman"/>
                <w:b/>
                <w:color w:val="FF0000"/>
                <w:lang w:eastAsia="tr-TR"/>
              </w:rPr>
              <w:t xml:space="preserve">(5) </w:t>
            </w:r>
            <w:r w:rsidR="001B3566" w:rsidRPr="00A639E0">
              <w:rPr>
                <w:rFonts w:ascii="Cambria" w:eastAsia="Times New Roman" w:hAnsi="Cambria" w:cs="Times New Roman"/>
                <w:b/>
                <w:color w:val="FF0000"/>
                <w:lang w:eastAsia="tr-TR"/>
              </w:rPr>
              <w:t>Meslek yüksekokullarının Yükseköğretim Kurulu tarafından belirlenen uzmanlık alanlarındaki uygulamalı dersleri vermek üzere istihdam edilecek öğretim görevlilerinde, her program için Yükseköğretim Kurulu tarafından karar verilen sayıdaki öğretim görevlisi kadrosu için geçerli olmak üzere, lisans mezunu olup belgelendirmek kaydıyla uygulama alanında en az dört yıl mesleki tecrübe sahibi olmak şartı aranı</w:t>
            </w:r>
            <w:r w:rsidR="001B3566" w:rsidRPr="00A639E0">
              <w:rPr>
                <w:rFonts w:ascii="Cambria" w:eastAsia="Times New Roman" w:hAnsi="Cambria" w:cs="Times New Roman"/>
                <w:bCs/>
                <w:color w:val="FF0000"/>
                <w:lang w:eastAsia="tr-TR"/>
              </w:rPr>
              <w:t>r.</w:t>
            </w:r>
          </w:p>
        </w:tc>
      </w:tr>
      <w:tr w:rsidR="00925B46" w:rsidRPr="00A639E0" w14:paraId="065DA885" w14:textId="77777777" w:rsidTr="009A0B72">
        <w:tc>
          <w:tcPr>
            <w:tcW w:w="7280" w:type="dxa"/>
          </w:tcPr>
          <w:p w14:paraId="593B4DAF" w14:textId="77777777" w:rsidR="001B3566" w:rsidRPr="001B3566" w:rsidRDefault="001B3566" w:rsidP="001B3566">
            <w:pPr>
              <w:spacing w:after="0" w:line="240" w:lineRule="auto"/>
              <w:jc w:val="both"/>
              <w:rPr>
                <w:rFonts w:ascii="Cambria" w:eastAsia="Times New Roman" w:hAnsi="Cambria" w:cs="Times New Roman"/>
                <w:color w:val="000000"/>
                <w:lang w:eastAsia="tr-TR"/>
              </w:rPr>
            </w:pPr>
            <w:r w:rsidRPr="001B3566">
              <w:rPr>
                <w:rFonts w:ascii="Cambria" w:eastAsia="Times New Roman" w:hAnsi="Cambria" w:cs="Times New Roman"/>
                <w:b/>
                <w:bCs/>
                <w:color w:val="000000"/>
                <w:lang w:eastAsia="tr-TR"/>
              </w:rPr>
              <w:t>Nihai değerlendirme</w:t>
            </w:r>
          </w:p>
          <w:p w14:paraId="6D713F32" w14:textId="485421F2" w:rsidR="00925B46" w:rsidRPr="00A639E0" w:rsidRDefault="001B3566" w:rsidP="001B3566">
            <w:pPr>
              <w:spacing w:after="0" w:line="240" w:lineRule="auto"/>
              <w:jc w:val="both"/>
              <w:rPr>
                <w:rFonts w:ascii="Cambria" w:hAnsi="Cambria"/>
                <w:bCs/>
              </w:rPr>
            </w:pPr>
            <w:r w:rsidRPr="001B3566">
              <w:rPr>
                <w:rFonts w:ascii="Cambria" w:eastAsia="Times New Roman" w:hAnsi="Cambria" w:cs="Times New Roman"/>
                <w:b/>
                <w:bCs/>
                <w:color w:val="000000"/>
                <w:lang w:eastAsia="tr-TR"/>
              </w:rPr>
              <w:t>MADDE 12 –</w:t>
            </w:r>
            <w:r w:rsidRPr="001B3566">
              <w:rPr>
                <w:rFonts w:ascii="Cambria" w:eastAsia="Times New Roman" w:hAnsi="Cambria" w:cs="Times New Roman"/>
                <w:color w:val="000000"/>
                <w:lang w:eastAsia="tr-TR"/>
              </w:rPr>
              <w:t> (2)</w:t>
            </w:r>
            <w:r w:rsidRPr="001B3566">
              <w:rPr>
                <w:rFonts w:ascii="Cambria" w:eastAsia="Times New Roman" w:hAnsi="Cambria" w:cs="Times New Roman"/>
                <w:b/>
                <w:bCs/>
                <w:color w:val="000000"/>
                <w:lang w:eastAsia="tr-TR"/>
              </w:rPr>
              <w:t> </w:t>
            </w:r>
            <w:r w:rsidRPr="001B3566">
              <w:rPr>
                <w:rFonts w:ascii="Cambria" w:eastAsia="Times New Roman" w:hAnsi="Cambria" w:cs="Times New Roman"/>
                <w:b/>
                <w:bCs/>
                <w:strike/>
                <w:color w:val="FF0000"/>
                <w:lang w:eastAsia="tr-TR"/>
              </w:rPr>
              <w:t xml:space="preserve">Araştırma üniversiteleri ile aday araştırma üniversitelerine Yükseköğretim Kurulu tarafından her yıl belirlenen öncelikli alanlara atanmak üzere Yükseköğretim Kurulunun tahsis edeceği araştırma görevlisi kadroları için adayların başarı sırasının belirlenmesinde ALES puanının %40’ı, lisans mezuniyet notunun %15’i, yabancı dil puanının %30’u ve giriş sınavı notunun %15’i </w:t>
            </w:r>
            <w:r w:rsidRPr="001B3566">
              <w:rPr>
                <w:rFonts w:ascii="Cambria" w:eastAsia="Times New Roman" w:hAnsi="Cambria" w:cs="Times New Roman"/>
                <w:b/>
                <w:bCs/>
                <w:strike/>
                <w:color w:val="FF0000"/>
                <w:lang w:eastAsia="tr-TR"/>
              </w:rPr>
              <w:lastRenderedPageBreak/>
              <w:t>dikkate alınır. Araştırma üniversiteleri ile aday araştırma üniversitelerinin Yükseköğretim Kurulu tarafından tahsis edilen öncelikli alan araştırma görevlisi kadrolarıyla ilgili sınava çağrılacak aday sayısı, ilan edilen kadronun üç katını geçemez</w:t>
            </w:r>
            <w:r w:rsidRPr="001B3566">
              <w:rPr>
                <w:rFonts w:ascii="Cambria" w:eastAsia="Times New Roman" w:hAnsi="Cambria" w:cs="Times New Roman"/>
                <w:color w:val="000000"/>
                <w:lang w:eastAsia="tr-TR"/>
              </w:rPr>
              <w:t>.</w:t>
            </w:r>
          </w:p>
        </w:tc>
        <w:tc>
          <w:tcPr>
            <w:tcW w:w="7280" w:type="dxa"/>
          </w:tcPr>
          <w:p w14:paraId="4B9D7114" w14:textId="77777777" w:rsidR="00925B46" w:rsidRPr="00A639E0" w:rsidRDefault="00925B46" w:rsidP="009A0B72">
            <w:pPr>
              <w:pStyle w:val="AralkYok"/>
              <w:jc w:val="center"/>
              <w:rPr>
                <w:rFonts w:ascii="Cambria" w:hAnsi="Cambria"/>
                <w:bCs/>
              </w:rPr>
            </w:pPr>
          </w:p>
          <w:p w14:paraId="346F6758" w14:textId="77777777" w:rsidR="001B3566" w:rsidRPr="00A639E0" w:rsidRDefault="001B3566" w:rsidP="009A0B72">
            <w:pPr>
              <w:pStyle w:val="AralkYok"/>
              <w:jc w:val="center"/>
              <w:rPr>
                <w:rFonts w:ascii="Cambria" w:hAnsi="Cambria"/>
                <w:bCs/>
              </w:rPr>
            </w:pPr>
          </w:p>
          <w:p w14:paraId="2C925F45" w14:textId="47C60886" w:rsidR="001B3566" w:rsidRPr="00A639E0" w:rsidRDefault="001B3566" w:rsidP="001B3566">
            <w:pPr>
              <w:pStyle w:val="AralkYok"/>
              <w:rPr>
                <w:rFonts w:ascii="Cambria" w:hAnsi="Cambria"/>
                <w:b/>
              </w:rPr>
            </w:pPr>
            <w:r w:rsidRPr="00A639E0">
              <w:rPr>
                <w:rFonts w:ascii="Cambria" w:hAnsi="Cambria"/>
                <w:b/>
                <w:color w:val="FF0000"/>
              </w:rPr>
              <w:t>Yürürlükten kaldırıldı.</w:t>
            </w:r>
          </w:p>
        </w:tc>
      </w:tr>
      <w:tr w:rsidR="00925B46" w:rsidRPr="00A639E0" w14:paraId="5D77604F" w14:textId="77777777" w:rsidTr="009A0B72">
        <w:tc>
          <w:tcPr>
            <w:tcW w:w="7280" w:type="dxa"/>
          </w:tcPr>
          <w:p w14:paraId="51B377DB" w14:textId="77777777" w:rsidR="001B3566" w:rsidRPr="001B3566" w:rsidRDefault="001B3566" w:rsidP="001B3566">
            <w:pPr>
              <w:spacing w:after="0" w:line="240" w:lineRule="auto"/>
              <w:jc w:val="both"/>
              <w:rPr>
                <w:rFonts w:ascii="Cambria" w:eastAsia="Times New Roman" w:hAnsi="Cambria" w:cs="Times New Roman"/>
                <w:color w:val="000000"/>
                <w:lang w:eastAsia="tr-TR"/>
              </w:rPr>
            </w:pPr>
            <w:r w:rsidRPr="001B3566">
              <w:rPr>
                <w:rFonts w:ascii="Cambria" w:eastAsia="Times New Roman" w:hAnsi="Cambria" w:cs="Times New Roman"/>
                <w:b/>
                <w:bCs/>
                <w:color w:val="000000"/>
                <w:lang w:eastAsia="tr-TR"/>
              </w:rPr>
              <w:t>Muafiyet</w:t>
            </w:r>
          </w:p>
          <w:p w14:paraId="6D09FB13" w14:textId="77777777" w:rsidR="001B3566" w:rsidRPr="001B3566" w:rsidRDefault="001B3566" w:rsidP="001B3566">
            <w:pPr>
              <w:spacing w:after="0" w:line="240" w:lineRule="auto"/>
              <w:jc w:val="both"/>
              <w:rPr>
                <w:rFonts w:ascii="Cambria" w:eastAsia="Times New Roman" w:hAnsi="Cambria" w:cs="Times New Roman"/>
                <w:color w:val="000000"/>
                <w:lang w:eastAsia="tr-TR"/>
              </w:rPr>
            </w:pPr>
            <w:r w:rsidRPr="001B3566">
              <w:rPr>
                <w:rFonts w:ascii="Cambria" w:eastAsia="Times New Roman" w:hAnsi="Cambria" w:cs="Times New Roman"/>
                <w:b/>
                <w:bCs/>
                <w:color w:val="000000"/>
                <w:lang w:eastAsia="tr-TR"/>
              </w:rPr>
              <w:t>MADDE 14 –</w:t>
            </w:r>
            <w:r w:rsidRPr="001B3566">
              <w:rPr>
                <w:rFonts w:ascii="Cambria" w:eastAsia="Times New Roman" w:hAnsi="Cambria" w:cs="Times New Roman"/>
                <w:color w:val="000000"/>
                <w:lang w:eastAsia="tr-TR"/>
              </w:rPr>
              <w:t xml:space="preserve"> (1) Doktora veya tıpta, diş hekimliğinde, eczacılıkta ve veteriner hekimlikte uzmanlık ya da sanatta yeterlik eğitimini tamamlamış olanlarda, </w:t>
            </w:r>
            <w:r w:rsidRPr="001B3566">
              <w:rPr>
                <w:rFonts w:ascii="Cambria" w:eastAsia="Times New Roman" w:hAnsi="Cambria" w:cs="Times New Roman"/>
                <w:b/>
                <w:bCs/>
                <w:strike/>
                <w:color w:val="FF0000"/>
                <w:lang w:eastAsia="tr-TR"/>
              </w:rPr>
              <w:t>meslek yüksekokullarının Yükseköğretim Kurulu tarafından belirlenen uzmanlık alanlarına</w:t>
            </w:r>
            <w:r w:rsidRPr="001B3566">
              <w:rPr>
                <w:rFonts w:ascii="Cambria" w:eastAsia="Times New Roman" w:hAnsi="Cambria" w:cs="Times New Roman"/>
                <w:color w:val="FF0000"/>
                <w:lang w:eastAsia="tr-TR"/>
              </w:rPr>
              <w:t xml:space="preserve"> </w:t>
            </w:r>
            <w:r w:rsidRPr="001B3566">
              <w:rPr>
                <w:rFonts w:ascii="Cambria" w:eastAsia="Times New Roman" w:hAnsi="Cambria" w:cs="Times New Roman"/>
                <w:b/>
                <w:bCs/>
                <w:strike/>
                <w:color w:val="FF0000"/>
                <w:lang w:eastAsia="tr-TR"/>
              </w:rPr>
              <w:t>atanacak olanlarda</w:t>
            </w:r>
            <w:r w:rsidRPr="001B3566">
              <w:rPr>
                <w:rFonts w:ascii="Cambria" w:eastAsia="Times New Roman" w:hAnsi="Cambria" w:cs="Times New Roman"/>
                <w:color w:val="000000"/>
                <w:lang w:eastAsia="tr-TR"/>
              </w:rPr>
              <w:t>, yükseköğretim kurumlarında öğretim elemanı kadrolarında çalışmış veya çalışmakta olanlarda merkezi sınav şartı aranmaz.</w:t>
            </w:r>
          </w:p>
          <w:p w14:paraId="5216B09C" w14:textId="77777777" w:rsidR="00925B46" w:rsidRPr="00A639E0" w:rsidRDefault="00925B46" w:rsidP="009A0B72">
            <w:pPr>
              <w:pStyle w:val="AralkYok"/>
              <w:jc w:val="center"/>
              <w:rPr>
                <w:rFonts w:ascii="Cambria" w:hAnsi="Cambria"/>
                <w:bCs/>
              </w:rPr>
            </w:pPr>
          </w:p>
        </w:tc>
        <w:tc>
          <w:tcPr>
            <w:tcW w:w="7280" w:type="dxa"/>
          </w:tcPr>
          <w:p w14:paraId="28E5EC18" w14:textId="77777777" w:rsidR="001B3566" w:rsidRPr="001B3566" w:rsidRDefault="001B3566" w:rsidP="001B3566">
            <w:pPr>
              <w:spacing w:after="0" w:line="240" w:lineRule="auto"/>
              <w:jc w:val="both"/>
              <w:rPr>
                <w:rFonts w:ascii="Cambria" w:eastAsia="Times New Roman" w:hAnsi="Cambria" w:cs="Times New Roman"/>
                <w:color w:val="000000"/>
                <w:lang w:eastAsia="tr-TR"/>
              </w:rPr>
            </w:pPr>
            <w:r w:rsidRPr="001B3566">
              <w:rPr>
                <w:rFonts w:ascii="Cambria" w:eastAsia="Times New Roman" w:hAnsi="Cambria" w:cs="Times New Roman"/>
                <w:b/>
                <w:bCs/>
                <w:color w:val="000000"/>
                <w:lang w:eastAsia="tr-TR"/>
              </w:rPr>
              <w:t>Muafiyet</w:t>
            </w:r>
          </w:p>
          <w:p w14:paraId="179F2173" w14:textId="2E2AB5D5" w:rsidR="001B3566" w:rsidRPr="001B3566" w:rsidRDefault="001B3566" w:rsidP="001B3566">
            <w:pPr>
              <w:spacing w:after="0" w:line="240" w:lineRule="auto"/>
              <w:jc w:val="both"/>
              <w:rPr>
                <w:rFonts w:ascii="Cambria" w:eastAsia="Times New Roman" w:hAnsi="Cambria" w:cs="Times New Roman"/>
                <w:color w:val="000000"/>
                <w:lang w:eastAsia="tr-TR"/>
              </w:rPr>
            </w:pPr>
            <w:r w:rsidRPr="001B3566">
              <w:rPr>
                <w:rFonts w:ascii="Cambria" w:eastAsia="Times New Roman" w:hAnsi="Cambria" w:cs="Times New Roman"/>
                <w:b/>
                <w:bCs/>
                <w:color w:val="000000"/>
                <w:lang w:eastAsia="tr-TR"/>
              </w:rPr>
              <w:t>MADDE 14 –</w:t>
            </w:r>
            <w:r w:rsidRPr="001B3566">
              <w:rPr>
                <w:rFonts w:ascii="Cambria" w:eastAsia="Times New Roman" w:hAnsi="Cambria" w:cs="Times New Roman"/>
                <w:color w:val="000000"/>
                <w:lang w:eastAsia="tr-TR"/>
              </w:rPr>
              <w:t xml:space="preserve"> (1) Doktora veya tıpta, diş hekimliğinde, eczacılıkta ve veteriner hekimlikte uzmanlık ya da sanatta yeterlik eğitimini tamamlamış olanlarda, </w:t>
            </w:r>
            <w:r w:rsidRPr="00A639E0">
              <w:rPr>
                <w:rFonts w:ascii="Cambria" w:eastAsia="Times New Roman" w:hAnsi="Cambria" w:cs="Times New Roman"/>
                <w:b/>
                <w:bCs/>
                <w:color w:val="FF0000"/>
                <w:lang w:eastAsia="tr-TR"/>
              </w:rPr>
              <w:t xml:space="preserve">bu Yönetmeliğin </w:t>
            </w:r>
            <w:proofErr w:type="gramStart"/>
            <w:r w:rsidRPr="00A639E0">
              <w:rPr>
                <w:rFonts w:ascii="Cambria" w:eastAsia="Times New Roman" w:hAnsi="Cambria" w:cs="Times New Roman"/>
                <w:b/>
                <w:bCs/>
                <w:color w:val="FF0000"/>
                <w:lang w:eastAsia="tr-TR"/>
              </w:rPr>
              <w:t>7 nci</w:t>
            </w:r>
            <w:proofErr w:type="gramEnd"/>
            <w:r w:rsidRPr="00A639E0">
              <w:rPr>
                <w:rFonts w:ascii="Cambria" w:eastAsia="Times New Roman" w:hAnsi="Cambria" w:cs="Times New Roman"/>
                <w:b/>
                <w:bCs/>
                <w:color w:val="FF0000"/>
                <w:lang w:eastAsia="tr-TR"/>
              </w:rPr>
              <w:t xml:space="preserve"> madde</w:t>
            </w:r>
            <w:r w:rsidR="00E10F27">
              <w:rPr>
                <w:rFonts w:ascii="Cambria" w:eastAsia="Times New Roman" w:hAnsi="Cambria" w:cs="Times New Roman"/>
                <w:b/>
                <w:bCs/>
                <w:color w:val="FF0000"/>
                <w:lang w:eastAsia="tr-TR"/>
              </w:rPr>
              <w:t>nin</w:t>
            </w:r>
            <w:r w:rsidRPr="00A639E0">
              <w:rPr>
                <w:rFonts w:ascii="Cambria" w:eastAsia="Times New Roman" w:hAnsi="Cambria" w:cs="Times New Roman"/>
                <w:b/>
                <w:bCs/>
                <w:color w:val="FF0000"/>
                <w:lang w:eastAsia="tr-TR"/>
              </w:rPr>
              <w:t xml:space="preserve"> dördüncü </w:t>
            </w:r>
            <w:r w:rsidR="00E10F27">
              <w:rPr>
                <w:rFonts w:ascii="Cambria" w:eastAsia="Times New Roman" w:hAnsi="Cambria" w:cs="Times New Roman"/>
                <w:b/>
                <w:bCs/>
                <w:color w:val="FF0000"/>
                <w:lang w:eastAsia="tr-TR"/>
              </w:rPr>
              <w:t xml:space="preserve">ve beşinci </w:t>
            </w:r>
            <w:r w:rsidRPr="00A639E0">
              <w:rPr>
                <w:rFonts w:ascii="Cambria" w:eastAsia="Times New Roman" w:hAnsi="Cambria" w:cs="Times New Roman"/>
                <w:b/>
                <w:bCs/>
                <w:color w:val="FF0000"/>
                <w:lang w:eastAsia="tr-TR"/>
              </w:rPr>
              <w:t>fıkrası kapsamındaki öğretim görevlisi kadrolarına atanacak olanlarda</w:t>
            </w:r>
            <w:r w:rsidRPr="001B3566">
              <w:rPr>
                <w:rFonts w:ascii="Cambria" w:eastAsia="Times New Roman" w:hAnsi="Cambria" w:cs="Times New Roman"/>
                <w:color w:val="000000"/>
                <w:lang w:eastAsia="tr-TR"/>
              </w:rPr>
              <w:t>, yükseköğretim kurumlarında öğretim elemanı kadrolarında çalışmış veya çalışmakta olanlarda merkezi sınav şartı aranmaz.</w:t>
            </w:r>
          </w:p>
          <w:p w14:paraId="4B8236A6" w14:textId="77777777" w:rsidR="00925B46" w:rsidRPr="00A639E0" w:rsidRDefault="00925B46" w:rsidP="009A0B72">
            <w:pPr>
              <w:pStyle w:val="AralkYok"/>
              <w:jc w:val="center"/>
              <w:rPr>
                <w:rFonts w:ascii="Cambria" w:hAnsi="Cambria"/>
                <w:bCs/>
              </w:rPr>
            </w:pPr>
          </w:p>
        </w:tc>
      </w:tr>
      <w:tr w:rsidR="00925B46" w:rsidRPr="00A639E0" w14:paraId="305C026D" w14:textId="77777777" w:rsidTr="009A0B72">
        <w:tc>
          <w:tcPr>
            <w:tcW w:w="7280" w:type="dxa"/>
          </w:tcPr>
          <w:p w14:paraId="3FE0A542" w14:textId="77777777" w:rsidR="00AF2792" w:rsidRPr="00A639E0" w:rsidRDefault="00AF2792" w:rsidP="001B3566">
            <w:pPr>
              <w:spacing w:after="0" w:line="240" w:lineRule="auto"/>
              <w:jc w:val="both"/>
              <w:rPr>
                <w:rFonts w:ascii="Cambria" w:eastAsia="Times New Roman" w:hAnsi="Cambria" w:cs="Times New Roman"/>
                <w:color w:val="000000"/>
                <w:lang w:eastAsia="tr-TR"/>
              </w:rPr>
            </w:pPr>
          </w:p>
          <w:p w14:paraId="6E142094" w14:textId="77777777" w:rsidR="00AF2792" w:rsidRPr="00A639E0" w:rsidRDefault="00AF2792" w:rsidP="001B3566">
            <w:pPr>
              <w:spacing w:after="0" w:line="240" w:lineRule="auto"/>
              <w:jc w:val="both"/>
              <w:rPr>
                <w:rFonts w:ascii="Cambria" w:eastAsia="Times New Roman" w:hAnsi="Cambria" w:cs="Times New Roman"/>
                <w:color w:val="000000"/>
                <w:lang w:eastAsia="tr-TR"/>
              </w:rPr>
            </w:pPr>
          </w:p>
          <w:p w14:paraId="57DE02CE" w14:textId="77777777" w:rsidR="00AF2792" w:rsidRPr="00A639E0" w:rsidRDefault="00AF2792" w:rsidP="001B3566">
            <w:pPr>
              <w:spacing w:after="0" w:line="240" w:lineRule="auto"/>
              <w:jc w:val="both"/>
              <w:rPr>
                <w:rFonts w:ascii="Cambria" w:eastAsia="Times New Roman" w:hAnsi="Cambria" w:cs="Times New Roman"/>
                <w:color w:val="000000"/>
                <w:lang w:eastAsia="tr-TR"/>
              </w:rPr>
            </w:pPr>
          </w:p>
          <w:p w14:paraId="5E91956F" w14:textId="77777777" w:rsidR="00AF2792" w:rsidRPr="00A639E0" w:rsidRDefault="00AF2792" w:rsidP="001B3566">
            <w:pPr>
              <w:spacing w:after="0" w:line="240" w:lineRule="auto"/>
              <w:jc w:val="both"/>
              <w:rPr>
                <w:rFonts w:ascii="Cambria" w:eastAsia="Times New Roman" w:hAnsi="Cambria" w:cs="Times New Roman"/>
                <w:color w:val="000000"/>
                <w:lang w:eastAsia="tr-TR"/>
              </w:rPr>
            </w:pPr>
          </w:p>
          <w:p w14:paraId="3EB640F1" w14:textId="77777777" w:rsidR="00AF2792" w:rsidRPr="00A639E0" w:rsidRDefault="00AF2792" w:rsidP="001B3566">
            <w:pPr>
              <w:spacing w:after="0" w:line="240" w:lineRule="auto"/>
              <w:jc w:val="both"/>
              <w:rPr>
                <w:rFonts w:ascii="Cambria" w:eastAsia="Times New Roman" w:hAnsi="Cambria" w:cs="Times New Roman"/>
                <w:color w:val="000000"/>
                <w:lang w:eastAsia="tr-TR"/>
              </w:rPr>
            </w:pPr>
          </w:p>
          <w:p w14:paraId="4C6EB769" w14:textId="77777777" w:rsidR="00AF2792" w:rsidRPr="00A639E0" w:rsidRDefault="00AF2792" w:rsidP="001B3566">
            <w:pPr>
              <w:spacing w:after="0" w:line="240" w:lineRule="auto"/>
              <w:jc w:val="both"/>
              <w:rPr>
                <w:rFonts w:ascii="Cambria" w:eastAsia="Times New Roman" w:hAnsi="Cambria" w:cs="Times New Roman"/>
                <w:color w:val="000000"/>
                <w:lang w:eastAsia="tr-TR"/>
              </w:rPr>
            </w:pPr>
          </w:p>
          <w:p w14:paraId="7DEECBDE" w14:textId="77777777" w:rsidR="00AF2792" w:rsidRPr="00A639E0" w:rsidRDefault="00AF2792" w:rsidP="001B3566">
            <w:pPr>
              <w:spacing w:after="0" w:line="240" w:lineRule="auto"/>
              <w:jc w:val="both"/>
              <w:rPr>
                <w:rFonts w:ascii="Cambria" w:eastAsia="Times New Roman" w:hAnsi="Cambria" w:cs="Times New Roman"/>
                <w:color w:val="000000"/>
                <w:lang w:eastAsia="tr-TR"/>
              </w:rPr>
            </w:pPr>
          </w:p>
          <w:p w14:paraId="400A8D65" w14:textId="4E7F1FAB" w:rsidR="001B3566" w:rsidRPr="001B3566" w:rsidRDefault="001B3566" w:rsidP="001B3566">
            <w:pPr>
              <w:spacing w:after="0" w:line="240" w:lineRule="auto"/>
              <w:jc w:val="both"/>
              <w:rPr>
                <w:rFonts w:ascii="Cambria" w:eastAsia="Times New Roman" w:hAnsi="Cambria" w:cs="Times New Roman"/>
                <w:b/>
                <w:bCs/>
                <w:color w:val="FF0000"/>
                <w:lang w:eastAsia="tr-TR"/>
              </w:rPr>
            </w:pPr>
            <w:r w:rsidRPr="00A639E0">
              <w:rPr>
                <w:rFonts w:ascii="Cambria" w:eastAsia="Times New Roman" w:hAnsi="Cambria" w:cs="Times New Roman"/>
                <w:b/>
                <w:bCs/>
                <w:color w:val="FF0000"/>
                <w:lang w:eastAsia="tr-TR"/>
              </w:rPr>
              <w:t>Ek fıkra eklenmesi</w:t>
            </w:r>
          </w:p>
          <w:p w14:paraId="47B6A704" w14:textId="77777777" w:rsidR="00925B46" w:rsidRPr="00A639E0" w:rsidRDefault="00925B46" w:rsidP="009A0B72">
            <w:pPr>
              <w:pStyle w:val="AralkYok"/>
              <w:jc w:val="center"/>
              <w:rPr>
                <w:rFonts w:ascii="Cambria" w:hAnsi="Cambria"/>
              </w:rPr>
            </w:pPr>
          </w:p>
        </w:tc>
        <w:tc>
          <w:tcPr>
            <w:tcW w:w="7280" w:type="dxa"/>
          </w:tcPr>
          <w:p w14:paraId="3BC9C682" w14:textId="77777777" w:rsidR="001B3566" w:rsidRPr="001B3566" w:rsidRDefault="001B3566" w:rsidP="001B3566">
            <w:pPr>
              <w:spacing w:after="0" w:line="240" w:lineRule="auto"/>
              <w:jc w:val="both"/>
              <w:rPr>
                <w:rFonts w:ascii="Cambria" w:eastAsia="Times New Roman" w:hAnsi="Cambria" w:cs="Times New Roman"/>
                <w:b/>
                <w:bCs/>
                <w:color w:val="000000"/>
                <w:lang w:eastAsia="tr-TR"/>
              </w:rPr>
            </w:pPr>
            <w:r w:rsidRPr="001B3566">
              <w:rPr>
                <w:rFonts w:ascii="Cambria" w:eastAsia="Times New Roman" w:hAnsi="Cambria" w:cs="Times New Roman"/>
                <w:b/>
                <w:bCs/>
                <w:color w:val="000000"/>
                <w:lang w:eastAsia="tr-TR"/>
              </w:rPr>
              <w:t>Öncelikli alanlardaki araştırma görevlisi kadrolarına atamalar</w:t>
            </w:r>
          </w:p>
          <w:p w14:paraId="45322902" w14:textId="7A0ED856" w:rsidR="00925B46" w:rsidRPr="00A639E0" w:rsidRDefault="001B3566" w:rsidP="00AF2792">
            <w:pPr>
              <w:spacing w:after="0" w:line="240" w:lineRule="auto"/>
              <w:jc w:val="both"/>
              <w:rPr>
                <w:rFonts w:ascii="Cambria" w:hAnsi="Cambria"/>
              </w:rPr>
            </w:pPr>
            <w:r w:rsidRPr="001B3566">
              <w:rPr>
                <w:rFonts w:ascii="Cambria" w:eastAsia="Times New Roman" w:hAnsi="Cambria" w:cs="Times New Roman"/>
                <w:b/>
                <w:bCs/>
                <w:color w:val="000000"/>
                <w:lang w:eastAsia="tr-TR"/>
              </w:rPr>
              <w:t>MADDE 15 –</w:t>
            </w:r>
            <w:r w:rsidRPr="00A639E0">
              <w:rPr>
                <w:rFonts w:ascii="Cambria" w:eastAsia="Times New Roman" w:hAnsi="Cambria" w:cs="Times New Roman"/>
                <w:b/>
                <w:bCs/>
                <w:color w:val="000000"/>
                <w:lang w:eastAsia="tr-TR"/>
              </w:rPr>
              <w:t xml:space="preserve"> (2)</w:t>
            </w:r>
            <w:r w:rsidR="00AF2792" w:rsidRPr="00A639E0">
              <w:rPr>
                <w:rFonts w:ascii="Cambria" w:eastAsia="Times New Roman" w:hAnsi="Cambria" w:cs="Times New Roman"/>
                <w:color w:val="000000"/>
                <w:lang w:eastAsia="tr-TR"/>
              </w:rPr>
              <w:t xml:space="preserve"> </w:t>
            </w:r>
            <w:r w:rsidR="00AF2792" w:rsidRPr="00A639E0">
              <w:rPr>
                <w:rFonts w:ascii="Cambria" w:hAnsi="Cambria" w:cs="Times New Roman"/>
                <w:b/>
                <w:bCs/>
                <w:color w:val="FF0000"/>
              </w:rPr>
              <w:t xml:space="preserve">Araştırma üniversitelerine Yükseköğretim Kurulu tarafından her yıl belirlenen öncelikli alanlara atanmak üzere Yükseköğretim Kurulunun tahsis edeceği araştırma görevlisi kadroları için 10 uncu madde uyarınca yapılacak ön değerlendirme sonucunda ilan edilen kadro sayısının 3 katı aday giriş sınavına katılmaya hak kazanır. 9 uncu madde uyarınca oluşturulacak giriş sınavı jürisince 11 inci maddedeki esaslar çerçevesinde yazılı giriş sınavı yapılır. Adayların nihai değerlendirmesinde ALES puanının %40’ı, lisans mezuniyet notunun %15’i, yabancı dil puanının %30’u ve giriş sınavı notunun %15’i dikkate alınır. Nihai değerlendirme puanı 70 puanın altında olanlar başarısız sayılır. </w:t>
            </w:r>
            <w:proofErr w:type="gramStart"/>
            <w:r w:rsidR="00AF2792" w:rsidRPr="00A639E0">
              <w:rPr>
                <w:rFonts w:ascii="Cambria" w:hAnsi="Cambria" w:cs="Times New Roman"/>
                <w:b/>
                <w:bCs/>
                <w:color w:val="FF0000"/>
              </w:rPr>
              <w:t>13 üncü</w:t>
            </w:r>
            <w:proofErr w:type="gramEnd"/>
            <w:r w:rsidR="00AF2792" w:rsidRPr="00A639E0">
              <w:rPr>
                <w:rFonts w:ascii="Cambria" w:hAnsi="Cambria" w:cs="Times New Roman"/>
                <w:b/>
                <w:bCs/>
                <w:color w:val="FF0000"/>
              </w:rPr>
              <w:t xml:space="preserve"> madde uyarınca başarılı olarak ilan edilen adayların ataması yürürlükteki mevzuat uyarınca yapılır</w:t>
            </w:r>
            <w:r w:rsidR="00AF2792" w:rsidRPr="00A639E0">
              <w:rPr>
                <w:rFonts w:ascii="Cambria" w:hAnsi="Cambria" w:cs="Times New Roman"/>
                <w:color w:val="000000"/>
              </w:rPr>
              <w:t>.</w:t>
            </w:r>
          </w:p>
        </w:tc>
      </w:tr>
    </w:tbl>
    <w:p w14:paraId="30857350" w14:textId="77736CED" w:rsidR="005B0C52" w:rsidRPr="00A639E0" w:rsidRDefault="005B0C52" w:rsidP="00AF2792">
      <w:pPr>
        <w:tabs>
          <w:tab w:val="left" w:pos="10320"/>
        </w:tabs>
        <w:rPr>
          <w:rFonts w:ascii="Cambria" w:hAnsi="Cambria"/>
        </w:rPr>
      </w:pPr>
    </w:p>
    <w:sectPr w:rsidR="005B0C52" w:rsidRPr="00A639E0"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194C" w14:textId="77777777" w:rsidR="007B0983" w:rsidRDefault="007B0983" w:rsidP="00534F7F">
      <w:pPr>
        <w:spacing w:after="0" w:line="240" w:lineRule="auto"/>
      </w:pPr>
      <w:r>
        <w:separator/>
      </w:r>
    </w:p>
  </w:endnote>
  <w:endnote w:type="continuationSeparator" w:id="0">
    <w:p w14:paraId="0D7B982C" w14:textId="77777777" w:rsidR="007B0983" w:rsidRDefault="007B098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C0AE" w14:textId="77777777"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240F"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2925FE4C" w14:textId="77777777" w:rsidTr="0020508C">
      <w:trPr>
        <w:trHeight w:val="559"/>
      </w:trPr>
      <w:tc>
        <w:tcPr>
          <w:tcW w:w="666" w:type="dxa"/>
        </w:tcPr>
        <w:p w14:paraId="231957C6"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E491861"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753905B8"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279D64CC"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C30B0D0"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2FBF912"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78F1BC1"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38288A63"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0651D88D"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0CED51DF"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076A97C8"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1F4D76E0"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79D63115"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31997344" w14:textId="77777777" w:rsidR="00534F7F" w:rsidRDefault="00534F7F">
    <w:pPr>
      <w:pStyle w:val="AltBilgi"/>
      <w:rPr>
        <w:sz w:val="6"/>
        <w:szCs w:val="6"/>
      </w:rPr>
    </w:pPr>
  </w:p>
  <w:p w14:paraId="66E7C062"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A6AD" w14:textId="77777777"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9E9F" w14:textId="77777777" w:rsidR="007B0983" w:rsidRDefault="007B0983" w:rsidP="00534F7F">
      <w:pPr>
        <w:spacing w:after="0" w:line="240" w:lineRule="auto"/>
      </w:pPr>
      <w:r>
        <w:separator/>
      </w:r>
    </w:p>
  </w:footnote>
  <w:footnote w:type="continuationSeparator" w:id="0">
    <w:p w14:paraId="738AD6D9" w14:textId="77777777" w:rsidR="007B0983" w:rsidRDefault="007B098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E943" w14:textId="77777777"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2A0F318D" w14:textId="77777777" w:rsidTr="00D04D2D">
      <w:trPr>
        <w:trHeight w:val="189"/>
      </w:trPr>
      <w:tc>
        <w:tcPr>
          <w:tcW w:w="2547" w:type="dxa"/>
          <w:vMerge w:val="restart"/>
        </w:tcPr>
        <w:p w14:paraId="5034985A"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381B734A" wp14:editId="1022AF09">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0CC5907C" w14:textId="77777777"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244AC15"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F8A5C98"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51DF0611" w14:textId="77777777" w:rsidTr="00D04D2D">
      <w:trPr>
        <w:trHeight w:val="187"/>
      </w:trPr>
      <w:tc>
        <w:tcPr>
          <w:tcW w:w="2547" w:type="dxa"/>
          <w:vMerge/>
        </w:tcPr>
        <w:p w14:paraId="23ECAB4B"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49741125"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4C29B6D"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8D1560D"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28C937D3" w14:textId="77777777" w:rsidTr="00D04D2D">
      <w:trPr>
        <w:trHeight w:val="187"/>
      </w:trPr>
      <w:tc>
        <w:tcPr>
          <w:tcW w:w="2547" w:type="dxa"/>
          <w:vMerge/>
        </w:tcPr>
        <w:p w14:paraId="73F88FBE"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1AF5680"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962452"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0FC43FE"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78AC2073" w14:textId="77777777" w:rsidTr="00D04D2D">
      <w:trPr>
        <w:trHeight w:val="220"/>
      </w:trPr>
      <w:tc>
        <w:tcPr>
          <w:tcW w:w="2547" w:type="dxa"/>
          <w:vMerge/>
        </w:tcPr>
        <w:p w14:paraId="4A6F573E"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C72CB34"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AEA5006"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A0CD09F"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E65E0EC" w14:textId="77777777"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F90D" w14:textId="77777777"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B5CD3"/>
    <w:rsid w:val="00116355"/>
    <w:rsid w:val="001368C2"/>
    <w:rsid w:val="0015666B"/>
    <w:rsid w:val="00164950"/>
    <w:rsid w:val="00197031"/>
    <w:rsid w:val="001B3566"/>
    <w:rsid w:val="001F16FF"/>
    <w:rsid w:val="0020508C"/>
    <w:rsid w:val="00271BDB"/>
    <w:rsid w:val="002F0FD6"/>
    <w:rsid w:val="00322432"/>
    <w:rsid w:val="003230A8"/>
    <w:rsid w:val="003C0F72"/>
    <w:rsid w:val="003D72D5"/>
    <w:rsid w:val="00406E3A"/>
    <w:rsid w:val="004232E9"/>
    <w:rsid w:val="00437CF7"/>
    <w:rsid w:val="004B24B6"/>
    <w:rsid w:val="004C79C8"/>
    <w:rsid w:val="00534F7F"/>
    <w:rsid w:val="00561AEB"/>
    <w:rsid w:val="00587671"/>
    <w:rsid w:val="005B0C52"/>
    <w:rsid w:val="005B25C0"/>
    <w:rsid w:val="006319F6"/>
    <w:rsid w:val="00634E90"/>
    <w:rsid w:val="0064705C"/>
    <w:rsid w:val="007B0983"/>
    <w:rsid w:val="00846AD8"/>
    <w:rsid w:val="008B1B67"/>
    <w:rsid w:val="00900183"/>
    <w:rsid w:val="00925B46"/>
    <w:rsid w:val="00956BB3"/>
    <w:rsid w:val="00984905"/>
    <w:rsid w:val="009A0B72"/>
    <w:rsid w:val="00A5214F"/>
    <w:rsid w:val="00A639E0"/>
    <w:rsid w:val="00AF2792"/>
    <w:rsid w:val="00BE3E80"/>
    <w:rsid w:val="00CC3E17"/>
    <w:rsid w:val="00CF5DBC"/>
    <w:rsid w:val="00D00CA5"/>
    <w:rsid w:val="00D04D2D"/>
    <w:rsid w:val="00D23B84"/>
    <w:rsid w:val="00E10F27"/>
    <w:rsid w:val="00E63D92"/>
    <w:rsid w:val="00EB72A7"/>
    <w:rsid w:val="00F478AB"/>
    <w:rsid w:val="00F66833"/>
    <w:rsid w:val="00F958F7"/>
    <w:rsid w:val="00FE6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66C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4C79C8"/>
    <w:rPr>
      <w:color w:val="0563C1" w:themeColor="hyperlink"/>
      <w:u w:val="single"/>
    </w:rPr>
  </w:style>
  <w:style w:type="character" w:styleId="zmlenmeyenBahsetme">
    <w:name w:val="Unresolved Mention"/>
    <w:basedOn w:val="VarsaylanParagrafYazTipi"/>
    <w:uiPriority w:val="99"/>
    <w:semiHidden/>
    <w:unhideWhenUsed/>
    <w:rsid w:val="004C7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519">
      <w:bodyDiv w:val="1"/>
      <w:marLeft w:val="0"/>
      <w:marRight w:val="0"/>
      <w:marTop w:val="0"/>
      <w:marBottom w:val="0"/>
      <w:divBdr>
        <w:top w:val="none" w:sz="0" w:space="0" w:color="auto"/>
        <w:left w:val="none" w:sz="0" w:space="0" w:color="auto"/>
        <w:bottom w:val="none" w:sz="0" w:space="0" w:color="auto"/>
        <w:right w:val="none" w:sz="0" w:space="0" w:color="auto"/>
      </w:divBdr>
    </w:div>
    <w:div w:id="50691998">
      <w:bodyDiv w:val="1"/>
      <w:marLeft w:val="0"/>
      <w:marRight w:val="0"/>
      <w:marTop w:val="0"/>
      <w:marBottom w:val="0"/>
      <w:divBdr>
        <w:top w:val="none" w:sz="0" w:space="0" w:color="auto"/>
        <w:left w:val="none" w:sz="0" w:space="0" w:color="auto"/>
        <w:bottom w:val="none" w:sz="0" w:space="0" w:color="auto"/>
        <w:right w:val="none" w:sz="0" w:space="0" w:color="auto"/>
      </w:divBdr>
    </w:div>
    <w:div w:id="343437965">
      <w:bodyDiv w:val="1"/>
      <w:marLeft w:val="0"/>
      <w:marRight w:val="0"/>
      <w:marTop w:val="0"/>
      <w:marBottom w:val="0"/>
      <w:divBdr>
        <w:top w:val="none" w:sz="0" w:space="0" w:color="auto"/>
        <w:left w:val="none" w:sz="0" w:space="0" w:color="auto"/>
        <w:bottom w:val="none" w:sz="0" w:space="0" w:color="auto"/>
        <w:right w:val="none" w:sz="0" w:space="0" w:color="auto"/>
      </w:divBdr>
    </w:div>
    <w:div w:id="616135094">
      <w:bodyDiv w:val="1"/>
      <w:marLeft w:val="0"/>
      <w:marRight w:val="0"/>
      <w:marTop w:val="0"/>
      <w:marBottom w:val="0"/>
      <w:divBdr>
        <w:top w:val="none" w:sz="0" w:space="0" w:color="auto"/>
        <w:left w:val="none" w:sz="0" w:space="0" w:color="auto"/>
        <w:bottom w:val="none" w:sz="0" w:space="0" w:color="auto"/>
        <w:right w:val="none" w:sz="0" w:space="0" w:color="auto"/>
      </w:divBdr>
    </w:div>
    <w:div w:id="1550607698">
      <w:bodyDiv w:val="1"/>
      <w:marLeft w:val="0"/>
      <w:marRight w:val="0"/>
      <w:marTop w:val="0"/>
      <w:marBottom w:val="0"/>
      <w:divBdr>
        <w:top w:val="none" w:sz="0" w:space="0" w:color="auto"/>
        <w:left w:val="none" w:sz="0" w:space="0" w:color="auto"/>
        <w:bottom w:val="none" w:sz="0" w:space="0" w:color="auto"/>
        <w:right w:val="none" w:sz="0" w:space="0" w:color="auto"/>
      </w:divBdr>
    </w:div>
    <w:div w:id="15645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gov.tr/mevzuat?MevzuatNo=28947&amp;MevzuatTur=7&amp;MevzuatTertip=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659</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40</cp:revision>
  <cp:lastPrinted>2022-03-03T07:54:00Z</cp:lastPrinted>
  <dcterms:created xsi:type="dcterms:W3CDTF">2019-02-15T12:25:00Z</dcterms:created>
  <dcterms:modified xsi:type="dcterms:W3CDTF">2022-03-03T07:54:00Z</dcterms:modified>
</cp:coreProperties>
</file>