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bookmarkStart w:id="0" w:name="_GoBack"/>
            <w:bookmarkEnd w:id="0"/>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B840F5" w:rsidP="005B0C52">
                <w:pPr>
                  <w:pStyle w:val="AralkYok"/>
                  <w:rPr>
                    <w:rFonts w:ascii="Cambria" w:hAnsi="Cambria"/>
                    <w:b/>
                    <w:bCs/>
                    <w:sz w:val="24"/>
                  </w:rPr>
                </w:pPr>
                <w:r>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B840F5" w:rsidP="005B0C52">
            <w:pPr>
              <w:pStyle w:val="AralkYok"/>
              <w:rPr>
                <w:rFonts w:ascii="Cambria" w:hAnsi="Cambria"/>
                <w:b/>
                <w:bCs/>
                <w:color w:val="002060"/>
                <w:sz w:val="24"/>
              </w:rPr>
            </w:pPr>
            <w:r>
              <w:rPr>
                <w:rFonts w:ascii="Cambria" w:hAnsi="Cambria"/>
                <w:b/>
                <w:bCs/>
                <w:color w:val="002060"/>
                <w:sz w:val="24"/>
              </w:rPr>
              <w:t>Öğretim Üyeliğine Yükseltilme ve Atanma Yönetmeliğinde Değişiklik Yapan Yönetmelik</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b/>
                <w:bCs/>
                <w:color w:val="000000"/>
                <w:lang w:eastAsia="tr-TR"/>
              </w:rPr>
              <w:t>Genel şartlar</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b/>
                <w:bCs/>
                <w:color w:val="000000"/>
                <w:lang w:eastAsia="tr-TR"/>
              </w:rPr>
              <w:t>MADDE 3 –</w:t>
            </w:r>
            <w:r w:rsidRPr="002F6869">
              <w:rPr>
                <w:rFonts w:ascii="Cambria" w:eastAsia="Times New Roman" w:hAnsi="Cambria" w:cs="Times New Roman"/>
                <w:color w:val="000000"/>
                <w:lang w:eastAsia="tr-TR"/>
              </w:rPr>
              <w:t> (1) Bu Yönetmelik hükümlerine göre doktor öğretim üyesi, doçent ve profesör kadrolarına atanabilmek için;</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a) 657 sayılı Devlet Memurları Kanununun 48 inci maddesindeki genel şartlara sahip olmak,</w:t>
            </w:r>
          </w:p>
          <w:p w:rsidR="00B840F5"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b) Yükseköğretim kurumlarının, 2547 sayılı Kanunun 23 üncü, 24 üncü ve 26 ncı maddeleri uyarınca belirlenerek Yükseköğretim Kurulu tarafından onaylanmış öğretim üyeliğine yükseltilme ve atanmayla ilgili ek koşullar varsa, bu koşulları sağlamış olmak,</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gerekir.</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(2) 2547 sayılı Kanunun yabancı uyruklu öğretim elemanları ile ilgili hükümleri saklıdır.</w:t>
            </w:r>
          </w:p>
          <w:p w:rsidR="009A0B72" w:rsidRPr="009A0B72" w:rsidRDefault="009A0B72" w:rsidP="00B840F5">
            <w:pPr>
              <w:pStyle w:val="AralkYok"/>
              <w:jc w:val="both"/>
              <w:rPr>
                <w:rFonts w:ascii="Cambria" w:hAnsi="Cambria"/>
                <w:bCs/>
              </w:rPr>
            </w:pPr>
          </w:p>
        </w:tc>
        <w:tc>
          <w:tcPr>
            <w:tcW w:w="7280" w:type="dxa"/>
          </w:tcPr>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b/>
                <w:bCs/>
                <w:color w:val="000000"/>
                <w:lang w:eastAsia="tr-TR"/>
              </w:rPr>
              <w:t>Genel şartlar</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b/>
                <w:bCs/>
                <w:color w:val="000000"/>
                <w:lang w:eastAsia="tr-TR"/>
              </w:rPr>
              <w:t>MADDE 3 –</w:t>
            </w:r>
            <w:r w:rsidRPr="002F6869">
              <w:rPr>
                <w:rFonts w:ascii="Cambria" w:eastAsia="Times New Roman" w:hAnsi="Cambria" w:cs="Times New Roman"/>
                <w:color w:val="000000"/>
                <w:lang w:eastAsia="tr-TR"/>
              </w:rPr>
              <w:t> (1) Bu Yönetmelik hükümlerine göre doktor öğretim üyesi, doçent ve profesör kadrolarına atanabilmek için;</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a) 657 sayılı Devlet Memurları Kanununun 48 inci maddesindeki genel şartlara sahip olmak,</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b) Yükseköğretim kurumlarının, 2547 sayılı Kanunun 23 üncü, 24 üncü ve 26 ncı maddeleri uyarınca belirlenerek Yükseköğretim Kurulu tarafından onaylanmış öğretim üyeliğine yükseltilme ve atanmayla ilgili ek koşullar varsa, bu koşulları sağlamış olmak,</w:t>
            </w:r>
          </w:p>
          <w:p w:rsidR="00B840F5" w:rsidRPr="002F6869" w:rsidRDefault="00B840F5" w:rsidP="00B840F5">
            <w:pPr>
              <w:spacing w:after="0"/>
              <w:jc w:val="both"/>
              <w:rPr>
                <w:rFonts w:ascii="Cambria" w:eastAsia="Times New Roman" w:hAnsi="Cambria" w:cs="Times New Roman"/>
                <w:color w:val="000000"/>
                <w:lang w:eastAsia="tr-TR"/>
              </w:rPr>
            </w:pPr>
            <w:r w:rsidRPr="002F6869">
              <w:rPr>
                <w:rFonts w:ascii="Cambria" w:eastAsia="Times New Roman" w:hAnsi="Cambria" w:cs="Times New Roman"/>
                <w:color w:val="000000"/>
                <w:lang w:eastAsia="tr-TR"/>
              </w:rPr>
              <w:t>gerekir.</w:t>
            </w:r>
          </w:p>
          <w:p w:rsidR="00B840F5" w:rsidRPr="004364D7" w:rsidRDefault="00B840F5" w:rsidP="00B840F5">
            <w:pPr>
              <w:spacing w:after="0"/>
              <w:jc w:val="both"/>
              <w:rPr>
                <w:rFonts w:ascii="Cambria" w:hAnsi="Cambria"/>
                <w:color w:val="000000"/>
              </w:rPr>
            </w:pPr>
            <w:r w:rsidRPr="002F6869">
              <w:rPr>
                <w:rFonts w:ascii="Cambria" w:eastAsia="Times New Roman" w:hAnsi="Cambria" w:cs="Times New Roman"/>
                <w:color w:val="000000"/>
                <w:lang w:eastAsia="tr-TR"/>
              </w:rPr>
              <w:t>(2) 2547 sayılı Kanunun yabancı uyruklu öğretim elemanları ile ilgili hükümleri saklıdır.</w:t>
            </w:r>
          </w:p>
          <w:p w:rsidR="009A0B72" w:rsidRPr="009A0B72" w:rsidRDefault="00B840F5" w:rsidP="00B840F5">
            <w:pPr>
              <w:pStyle w:val="AralkYok"/>
              <w:jc w:val="both"/>
              <w:rPr>
                <w:rFonts w:ascii="Cambria" w:hAnsi="Cambria"/>
                <w:bCs/>
              </w:rPr>
            </w:pPr>
            <w:r w:rsidRPr="004364D7">
              <w:rPr>
                <w:rFonts w:ascii="Cambria" w:hAnsi="Cambria"/>
                <w:b/>
                <w:color w:val="FF0000"/>
              </w:rPr>
              <w:t>(3) İlana başvuru koşulu olarak adayların lisansüstü tez veya uzmanlık tezi adlarının bir kısmı veya tamamı yazılamayacağı gibi ilanda sadece belirli bir adayı tanımlayan özel şartlara da yer verilemez.</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3C" w:rsidRDefault="0010643C" w:rsidP="00534F7F">
      <w:pPr>
        <w:spacing w:after="0" w:line="240" w:lineRule="auto"/>
      </w:pPr>
      <w:r>
        <w:separator/>
      </w:r>
    </w:p>
  </w:endnote>
  <w:endnote w:type="continuationSeparator" w:id="0">
    <w:p w:rsidR="0010643C" w:rsidRDefault="0010643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C20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C20C5">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3C" w:rsidRDefault="0010643C" w:rsidP="00534F7F">
      <w:pPr>
        <w:spacing w:after="0" w:line="240" w:lineRule="auto"/>
      </w:pPr>
      <w:r>
        <w:separator/>
      </w:r>
    </w:p>
  </w:footnote>
  <w:footnote w:type="continuationSeparator" w:id="0">
    <w:p w:rsidR="0010643C" w:rsidRDefault="0010643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0643C"/>
    <w:rsid w:val="00116355"/>
    <w:rsid w:val="001368C2"/>
    <w:rsid w:val="0015666B"/>
    <w:rsid w:val="00164950"/>
    <w:rsid w:val="001F16FF"/>
    <w:rsid w:val="0020508C"/>
    <w:rsid w:val="00271BDB"/>
    <w:rsid w:val="002964F8"/>
    <w:rsid w:val="002F0FD6"/>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846AD8"/>
    <w:rsid w:val="008B1B67"/>
    <w:rsid w:val="00900183"/>
    <w:rsid w:val="00925B46"/>
    <w:rsid w:val="009A0B72"/>
    <w:rsid w:val="00A5214F"/>
    <w:rsid w:val="00B840F5"/>
    <w:rsid w:val="00BE3E80"/>
    <w:rsid w:val="00CC3E17"/>
    <w:rsid w:val="00CF5DBC"/>
    <w:rsid w:val="00D00CA5"/>
    <w:rsid w:val="00D04D2D"/>
    <w:rsid w:val="00D23B84"/>
    <w:rsid w:val="00D935C3"/>
    <w:rsid w:val="00E55FE0"/>
    <w:rsid w:val="00E63D92"/>
    <w:rsid w:val="00EB72A7"/>
    <w:rsid w:val="00F478AB"/>
    <w:rsid w:val="00F66833"/>
    <w:rsid w:val="00F958F7"/>
    <w:rsid w:val="00FC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cp:revision>
  <cp:lastPrinted>2021-03-09T04:44:00Z</cp:lastPrinted>
  <dcterms:created xsi:type="dcterms:W3CDTF">2021-03-09T04:40:00Z</dcterms:created>
  <dcterms:modified xsi:type="dcterms:W3CDTF">2021-03-09T04:45:00Z</dcterms:modified>
</cp:coreProperties>
</file>