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Ak"/>
        <w:tblW w:w="0" w:type="auto"/>
        <w:tblLook w:val="04A0" w:firstRow="1" w:lastRow="0" w:firstColumn="1" w:lastColumn="0" w:noHBand="0" w:noVBand="1"/>
      </w:tblPr>
      <w:tblGrid>
        <w:gridCol w:w="2508"/>
        <w:gridCol w:w="457"/>
        <w:gridCol w:w="2532"/>
        <w:gridCol w:w="437"/>
        <w:gridCol w:w="2519"/>
        <w:gridCol w:w="437"/>
        <w:gridCol w:w="2584"/>
        <w:gridCol w:w="437"/>
        <w:gridCol w:w="2649"/>
      </w:tblGrid>
      <w:tr w:rsidR="006319F6" w14:paraId="6F0FA616" w14:textId="77777777" w:rsidTr="006319F6">
        <w:tc>
          <w:tcPr>
            <w:tcW w:w="2508" w:type="dxa"/>
            <w:vMerge w:val="restart"/>
            <w:shd w:val="clear" w:color="auto" w:fill="F2F2F2" w:themeFill="background1" w:themeFillShade="F2"/>
            <w:vAlign w:val="center"/>
          </w:tcPr>
          <w:p w14:paraId="371354EF" w14:textId="77777777" w:rsidR="006319F6" w:rsidRDefault="006319F6" w:rsidP="007815C0">
            <w:pPr>
              <w:pStyle w:val="AralkYok"/>
              <w:jc w:val="both"/>
              <w:rPr>
                <w:rFonts w:ascii="Cambria" w:hAnsi="Cambria"/>
                <w:b/>
                <w:bCs/>
                <w:color w:val="002060"/>
              </w:rPr>
            </w:pPr>
            <w:r>
              <w:rPr>
                <w:rFonts w:ascii="Cambria" w:hAnsi="Cambria"/>
                <w:b/>
                <w:bCs/>
                <w:color w:val="002060"/>
              </w:rPr>
              <w:t>Doküman Türü</w:t>
            </w:r>
          </w:p>
        </w:tc>
        <w:sdt>
          <w:sdtPr>
            <w:rPr>
              <w:rFonts w:ascii="Cambria" w:hAnsi="Cambria"/>
              <w:b/>
              <w:bCs/>
              <w:sz w:val="24"/>
            </w:rPr>
            <w:id w:val="-1119378844"/>
            <w14:checkbox>
              <w14:checked w14:val="0"/>
              <w14:checkedState w14:val="2612" w14:font="MS Gothic"/>
              <w14:uncheckedState w14:val="2610" w14:font="MS Gothic"/>
            </w14:checkbox>
          </w:sdtPr>
          <w:sdtEndPr/>
          <w:sdtContent>
            <w:tc>
              <w:tcPr>
                <w:tcW w:w="457" w:type="dxa"/>
                <w:tcBorders>
                  <w:bottom w:val="nil"/>
                  <w:right w:val="nil"/>
                </w:tcBorders>
                <w:vAlign w:val="center"/>
              </w:tcPr>
              <w:p w14:paraId="7BAE2B10" w14:textId="77777777" w:rsidR="006319F6" w:rsidRPr="009A0B72" w:rsidRDefault="006319F6" w:rsidP="007815C0">
                <w:pPr>
                  <w:pStyle w:val="AralkYok"/>
                  <w:jc w:val="both"/>
                  <w:rPr>
                    <w:rFonts w:ascii="Cambria" w:hAnsi="Cambria"/>
                    <w:b/>
                    <w:bCs/>
                    <w:sz w:val="24"/>
                  </w:rPr>
                </w:pPr>
                <w:r w:rsidRPr="009A0B72">
                  <w:rPr>
                    <w:rFonts w:ascii="MS Gothic" w:eastAsia="MS Gothic" w:hAnsi="MS Gothic" w:hint="eastAsia"/>
                    <w:b/>
                    <w:bCs/>
                    <w:sz w:val="24"/>
                  </w:rPr>
                  <w:t>☐</w:t>
                </w:r>
              </w:p>
            </w:tc>
          </w:sdtContent>
        </w:sdt>
        <w:tc>
          <w:tcPr>
            <w:tcW w:w="2532" w:type="dxa"/>
            <w:tcBorders>
              <w:left w:val="nil"/>
              <w:bottom w:val="nil"/>
              <w:right w:val="nil"/>
            </w:tcBorders>
            <w:vAlign w:val="center"/>
          </w:tcPr>
          <w:p w14:paraId="63B707A3" w14:textId="77777777" w:rsidR="006319F6" w:rsidRPr="009A0B72" w:rsidRDefault="006319F6" w:rsidP="007815C0">
            <w:pPr>
              <w:pStyle w:val="AralkYok"/>
              <w:jc w:val="both"/>
              <w:rPr>
                <w:rFonts w:ascii="Cambria" w:hAnsi="Cambria"/>
                <w:b/>
                <w:bCs/>
              </w:rPr>
            </w:pPr>
            <w:r>
              <w:rPr>
                <w:rFonts w:ascii="Cambria" w:hAnsi="Cambria"/>
                <w:b/>
                <w:bCs/>
              </w:rPr>
              <w:t>Kanun</w:t>
            </w:r>
          </w:p>
        </w:tc>
        <w:sdt>
          <w:sdtPr>
            <w:rPr>
              <w:rFonts w:ascii="Cambria" w:hAnsi="Cambria"/>
              <w:b/>
              <w:bCs/>
            </w:rPr>
            <w:id w:val="870265277"/>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7FACD7BF" w14:textId="77777777" w:rsidR="006319F6" w:rsidRPr="009A0B72" w:rsidRDefault="006319F6" w:rsidP="007815C0">
                <w:pPr>
                  <w:pStyle w:val="AralkYok"/>
                  <w:jc w:val="both"/>
                  <w:rPr>
                    <w:rFonts w:ascii="Cambria" w:hAnsi="Cambria"/>
                    <w:b/>
                    <w:bCs/>
                  </w:rPr>
                </w:pPr>
                <w:r w:rsidRPr="009A0B72">
                  <w:rPr>
                    <w:rFonts w:ascii="MS Gothic" w:eastAsia="MS Gothic" w:hAnsi="MS Gothic" w:hint="eastAsia"/>
                    <w:b/>
                    <w:bCs/>
                  </w:rPr>
                  <w:t>☐</w:t>
                </w:r>
              </w:p>
            </w:tc>
          </w:sdtContent>
        </w:sdt>
        <w:tc>
          <w:tcPr>
            <w:tcW w:w="2519" w:type="dxa"/>
            <w:tcBorders>
              <w:left w:val="nil"/>
              <w:bottom w:val="nil"/>
              <w:right w:val="nil"/>
            </w:tcBorders>
            <w:vAlign w:val="center"/>
          </w:tcPr>
          <w:p w14:paraId="24DDAAEE" w14:textId="77777777" w:rsidR="006319F6" w:rsidRPr="009A0B72" w:rsidRDefault="006319F6" w:rsidP="007815C0">
            <w:pPr>
              <w:pStyle w:val="AralkYok"/>
              <w:jc w:val="both"/>
              <w:rPr>
                <w:rFonts w:ascii="Cambria" w:hAnsi="Cambria"/>
                <w:b/>
                <w:bCs/>
              </w:rPr>
            </w:pPr>
            <w:r>
              <w:rPr>
                <w:rFonts w:ascii="Cambria" w:hAnsi="Cambria"/>
                <w:b/>
                <w:bCs/>
              </w:rPr>
              <w:t>CB Kararnamesi</w:t>
            </w:r>
          </w:p>
        </w:tc>
        <w:sdt>
          <w:sdtPr>
            <w:rPr>
              <w:rFonts w:ascii="Cambria" w:hAnsi="Cambria"/>
              <w:b/>
              <w:bCs/>
            </w:rPr>
            <w:id w:val="-2104552926"/>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66F33FB4" w14:textId="77777777" w:rsidR="006319F6" w:rsidRPr="009A0B72" w:rsidRDefault="006319F6" w:rsidP="007815C0">
                <w:pPr>
                  <w:pStyle w:val="AralkYok"/>
                  <w:jc w:val="both"/>
                  <w:rPr>
                    <w:rFonts w:ascii="Cambria" w:hAnsi="Cambria"/>
                    <w:b/>
                    <w:bCs/>
                  </w:rPr>
                </w:pPr>
                <w:r w:rsidRPr="009A0B72">
                  <w:rPr>
                    <w:rFonts w:ascii="MS Gothic" w:eastAsia="MS Gothic" w:hAnsi="MS Gothic" w:hint="eastAsia"/>
                    <w:b/>
                    <w:bCs/>
                  </w:rPr>
                  <w:t>☐</w:t>
                </w:r>
              </w:p>
            </w:tc>
          </w:sdtContent>
        </w:sdt>
        <w:tc>
          <w:tcPr>
            <w:tcW w:w="2584" w:type="dxa"/>
            <w:tcBorders>
              <w:left w:val="nil"/>
              <w:bottom w:val="nil"/>
              <w:right w:val="nil"/>
            </w:tcBorders>
            <w:vAlign w:val="center"/>
          </w:tcPr>
          <w:p w14:paraId="1CDFD507" w14:textId="77777777" w:rsidR="006319F6" w:rsidRPr="009A0B72" w:rsidRDefault="006319F6" w:rsidP="007815C0">
            <w:pPr>
              <w:pStyle w:val="AralkYok"/>
              <w:jc w:val="both"/>
              <w:rPr>
                <w:rFonts w:ascii="Cambria" w:hAnsi="Cambria"/>
                <w:b/>
                <w:bCs/>
              </w:rPr>
            </w:pPr>
            <w:r>
              <w:rPr>
                <w:rFonts w:ascii="Cambria" w:hAnsi="Cambria"/>
                <w:b/>
                <w:bCs/>
              </w:rPr>
              <w:t>CB Kararı</w:t>
            </w:r>
          </w:p>
        </w:tc>
        <w:sdt>
          <w:sdtPr>
            <w:rPr>
              <w:rFonts w:ascii="Cambria" w:hAnsi="Cambria"/>
              <w:b/>
              <w:bCs/>
            </w:rPr>
            <w:id w:val="-394358255"/>
            <w14:checkbox>
              <w14:checked w14:val="0"/>
              <w14:checkedState w14:val="2612" w14:font="MS Gothic"/>
              <w14:uncheckedState w14:val="2610" w14:font="MS Gothic"/>
            </w14:checkbox>
          </w:sdtPr>
          <w:sdtEndPr/>
          <w:sdtContent>
            <w:tc>
              <w:tcPr>
                <w:tcW w:w="437" w:type="dxa"/>
                <w:tcBorders>
                  <w:left w:val="nil"/>
                  <w:bottom w:val="nil"/>
                  <w:right w:val="nil"/>
                </w:tcBorders>
                <w:vAlign w:val="center"/>
              </w:tcPr>
              <w:p w14:paraId="51FC31F4" w14:textId="77777777" w:rsidR="006319F6" w:rsidRPr="009A0B72" w:rsidRDefault="006319F6" w:rsidP="007815C0">
                <w:pPr>
                  <w:pStyle w:val="AralkYok"/>
                  <w:jc w:val="both"/>
                  <w:rPr>
                    <w:rFonts w:ascii="Cambria" w:hAnsi="Cambria"/>
                    <w:b/>
                    <w:bCs/>
                  </w:rPr>
                </w:pPr>
                <w:r w:rsidRPr="009A0B72">
                  <w:rPr>
                    <w:rFonts w:ascii="MS Gothic" w:eastAsia="MS Gothic" w:hAnsi="MS Gothic" w:hint="eastAsia"/>
                    <w:b/>
                    <w:bCs/>
                  </w:rPr>
                  <w:t>☐</w:t>
                </w:r>
              </w:p>
            </w:tc>
          </w:sdtContent>
        </w:sdt>
        <w:tc>
          <w:tcPr>
            <w:tcW w:w="2649" w:type="dxa"/>
            <w:tcBorders>
              <w:left w:val="nil"/>
              <w:bottom w:val="nil"/>
            </w:tcBorders>
            <w:vAlign w:val="center"/>
          </w:tcPr>
          <w:p w14:paraId="53153142" w14:textId="77777777" w:rsidR="006319F6" w:rsidRPr="009A0B72" w:rsidRDefault="006319F6" w:rsidP="007815C0">
            <w:pPr>
              <w:pStyle w:val="AralkYok"/>
              <w:jc w:val="both"/>
              <w:rPr>
                <w:rFonts w:ascii="Cambria" w:hAnsi="Cambria"/>
                <w:b/>
                <w:bCs/>
              </w:rPr>
            </w:pPr>
            <w:r>
              <w:rPr>
                <w:rFonts w:ascii="Cambria" w:hAnsi="Cambria"/>
                <w:b/>
                <w:bCs/>
              </w:rPr>
              <w:t>Tebliğ</w:t>
            </w:r>
          </w:p>
        </w:tc>
      </w:tr>
      <w:tr w:rsidR="006319F6" w14:paraId="6511C7E6" w14:textId="77777777" w:rsidTr="006319F6">
        <w:tc>
          <w:tcPr>
            <w:tcW w:w="2508" w:type="dxa"/>
            <w:vMerge/>
            <w:shd w:val="clear" w:color="auto" w:fill="F2F2F2" w:themeFill="background1" w:themeFillShade="F2"/>
            <w:vAlign w:val="center"/>
          </w:tcPr>
          <w:p w14:paraId="46639686" w14:textId="77777777" w:rsidR="006319F6" w:rsidRDefault="006319F6" w:rsidP="007815C0">
            <w:pPr>
              <w:pStyle w:val="AralkYok"/>
              <w:jc w:val="both"/>
              <w:rPr>
                <w:rFonts w:ascii="Cambria" w:hAnsi="Cambria"/>
                <w:b/>
                <w:bCs/>
                <w:color w:val="002060"/>
              </w:rPr>
            </w:pPr>
          </w:p>
        </w:tc>
        <w:sdt>
          <w:sdtPr>
            <w:rPr>
              <w:rFonts w:ascii="Cambria" w:hAnsi="Cambria"/>
              <w:b/>
              <w:bCs/>
              <w:sz w:val="24"/>
            </w:rPr>
            <w:id w:val="-1395648614"/>
            <w14:checkbox>
              <w14:checked w14:val="1"/>
              <w14:checkedState w14:val="2612" w14:font="MS Gothic"/>
              <w14:uncheckedState w14:val="2610" w14:font="MS Gothic"/>
            </w14:checkbox>
          </w:sdtPr>
          <w:sdtEndPr/>
          <w:sdtContent>
            <w:tc>
              <w:tcPr>
                <w:tcW w:w="457" w:type="dxa"/>
                <w:tcBorders>
                  <w:top w:val="nil"/>
                  <w:right w:val="nil"/>
                </w:tcBorders>
                <w:vAlign w:val="center"/>
              </w:tcPr>
              <w:p w14:paraId="75926852" w14:textId="36B3C2F7" w:rsidR="006319F6" w:rsidRPr="009A0B72" w:rsidRDefault="00F402FA" w:rsidP="007815C0">
                <w:pPr>
                  <w:pStyle w:val="AralkYok"/>
                  <w:jc w:val="both"/>
                  <w:rPr>
                    <w:rFonts w:ascii="Cambria" w:hAnsi="Cambria"/>
                    <w:b/>
                    <w:bCs/>
                    <w:sz w:val="24"/>
                  </w:rPr>
                </w:pPr>
                <w:r>
                  <w:rPr>
                    <w:rFonts w:ascii="MS Gothic" w:eastAsia="MS Gothic" w:hAnsi="MS Gothic" w:hint="eastAsia"/>
                    <w:b/>
                    <w:bCs/>
                    <w:sz w:val="24"/>
                  </w:rPr>
                  <w:t>☒</w:t>
                </w:r>
              </w:p>
            </w:tc>
          </w:sdtContent>
        </w:sdt>
        <w:tc>
          <w:tcPr>
            <w:tcW w:w="2532" w:type="dxa"/>
            <w:tcBorders>
              <w:top w:val="nil"/>
              <w:left w:val="nil"/>
              <w:right w:val="nil"/>
            </w:tcBorders>
            <w:vAlign w:val="center"/>
          </w:tcPr>
          <w:p w14:paraId="0CB9033C" w14:textId="77777777" w:rsidR="006319F6" w:rsidRPr="009A0B72" w:rsidRDefault="006319F6" w:rsidP="007815C0">
            <w:pPr>
              <w:pStyle w:val="AralkYok"/>
              <w:jc w:val="both"/>
              <w:rPr>
                <w:rFonts w:ascii="Cambria" w:hAnsi="Cambria"/>
                <w:b/>
                <w:bCs/>
              </w:rPr>
            </w:pPr>
            <w:r w:rsidRPr="009A0B72">
              <w:rPr>
                <w:rFonts w:ascii="Cambria" w:hAnsi="Cambria"/>
                <w:b/>
                <w:bCs/>
              </w:rPr>
              <w:t>Yönetmelik</w:t>
            </w:r>
          </w:p>
        </w:tc>
        <w:sdt>
          <w:sdtPr>
            <w:rPr>
              <w:rFonts w:ascii="Cambria" w:hAnsi="Cambria"/>
              <w:b/>
              <w:bCs/>
            </w:rPr>
            <w:id w:val="-1240561184"/>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30BDC893" w14:textId="77777777" w:rsidR="006319F6" w:rsidRPr="009A0B72" w:rsidRDefault="006319F6" w:rsidP="007815C0">
                <w:pPr>
                  <w:pStyle w:val="AralkYok"/>
                  <w:jc w:val="both"/>
                  <w:rPr>
                    <w:rFonts w:ascii="Cambria" w:hAnsi="Cambria"/>
                    <w:b/>
                    <w:bCs/>
                  </w:rPr>
                </w:pPr>
                <w:r w:rsidRPr="009A0B72">
                  <w:rPr>
                    <w:rFonts w:ascii="MS Gothic" w:eastAsia="MS Gothic" w:hAnsi="MS Gothic" w:hint="eastAsia"/>
                    <w:b/>
                    <w:bCs/>
                  </w:rPr>
                  <w:t>☐</w:t>
                </w:r>
              </w:p>
            </w:tc>
          </w:sdtContent>
        </w:sdt>
        <w:tc>
          <w:tcPr>
            <w:tcW w:w="2519" w:type="dxa"/>
            <w:tcBorders>
              <w:top w:val="nil"/>
              <w:left w:val="nil"/>
              <w:right w:val="nil"/>
            </w:tcBorders>
            <w:vAlign w:val="center"/>
          </w:tcPr>
          <w:p w14:paraId="7BC47695" w14:textId="77777777" w:rsidR="006319F6" w:rsidRPr="009A0B72" w:rsidRDefault="006319F6" w:rsidP="007815C0">
            <w:pPr>
              <w:pStyle w:val="AralkYok"/>
              <w:jc w:val="both"/>
              <w:rPr>
                <w:rFonts w:ascii="Cambria" w:hAnsi="Cambria"/>
                <w:b/>
                <w:bCs/>
              </w:rPr>
            </w:pPr>
            <w:r w:rsidRPr="009A0B72">
              <w:rPr>
                <w:rFonts w:ascii="Cambria" w:hAnsi="Cambria"/>
                <w:b/>
                <w:bCs/>
              </w:rPr>
              <w:t>Yönerge</w:t>
            </w:r>
          </w:p>
        </w:tc>
        <w:sdt>
          <w:sdtPr>
            <w:rPr>
              <w:rFonts w:ascii="Cambria" w:hAnsi="Cambria"/>
              <w:b/>
              <w:bCs/>
            </w:rPr>
            <w:id w:val="-1004193508"/>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3B062166" w14:textId="77777777" w:rsidR="006319F6" w:rsidRPr="009A0B72" w:rsidRDefault="006319F6" w:rsidP="007815C0">
                <w:pPr>
                  <w:pStyle w:val="AralkYok"/>
                  <w:jc w:val="both"/>
                  <w:rPr>
                    <w:rFonts w:ascii="Cambria" w:hAnsi="Cambria"/>
                    <w:b/>
                    <w:bCs/>
                  </w:rPr>
                </w:pPr>
                <w:r w:rsidRPr="009A0B72">
                  <w:rPr>
                    <w:rFonts w:ascii="MS Gothic" w:eastAsia="MS Gothic" w:hAnsi="MS Gothic" w:hint="eastAsia"/>
                    <w:b/>
                    <w:bCs/>
                  </w:rPr>
                  <w:t>☐</w:t>
                </w:r>
              </w:p>
            </w:tc>
          </w:sdtContent>
        </w:sdt>
        <w:tc>
          <w:tcPr>
            <w:tcW w:w="2584" w:type="dxa"/>
            <w:tcBorders>
              <w:top w:val="nil"/>
              <w:left w:val="nil"/>
              <w:right w:val="nil"/>
            </w:tcBorders>
            <w:vAlign w:val="center"/>
          </w:tcPr>
          <w:p w14:paraId="753C15DA" w14:textId="77777777" w:rsidR="006319F6" w:rsidRPr="009A0B72" w:rsidRDefault="006319F6" w:rsidP="007815C0">
            <w:pPr>
              <w:pStyle w:val="AralkYok"/>
              <w:jc w:val="both"/>
              <w:rPr>
                <w:rFonts w:ascii="Cambria" w:hAnsi="Cambria"/>
                <w:b/>
                <w:bCs/>
              </w:rPr>
            </w:pPr>
            <w:r w:rsidRPr="009A0B72">
              <w:rPr>
                <w:rFonts w:ascii="Cambria" w:hAnsi="Cambria"/>
                <w:b/>
                <w:bCs/>
              </w:rPr>
              <w:t>Esas ve Usul</w:t>
            </w:r>
          </w:p>
        </w:tc>
        <w:sdt>
          <w:sdtPr>
            <w:rPr>
              <w:rFonts w:ascii="Cambria" w:hAnsi="Cambria"/>
              <w:b/>
              <w:bCs/>
            </w:rPr>
            <w:id w:val="1151792901"/>
            <w14:checkbox>
              <w14:checked w14:val="0"/>
              <w14:checkedState w14:val="2612" w14:font="MS Gothic"/>
              <w14:uncheckedState w14:val="2610" w14:font="MS Gothic"/>
            </w14:checkbox>
          </w:sdtPr>
          <w:sdtEndPr/>
          <w:sdtContent>
            <w:tc>
              <w:tcPr>
                <w:tcW w:w="437" w:type="dxa"/>
                <w:tcBorders>
                  <w:top w:val="nil"/>
                  <w:left w:val="nil"/>
                  <w:right w:val="nil"/>
                </w:tcBorders>
                <w:vAlign w:val="center"/>
              </w:tcPr>
              <w:p w14:paraId="1D1F3732" w14:textId="77777777" w:rsidR="006319F6" w:rsidRPr="009A0B72" w:rsidRDefault="006319F6" w:rsidP="007815C0">
                <w:pPr>
                  <w:pStyle w:val="AralkYok"/>
                  <w:jc w:val="both"/>
                  <w:rPr>
                    <w:rFonts w:ascii="Cambria" w:hAnsi="Cambria"/>
                    <w:b/>
                    <w:bCs/>
                  </w:rPr>
                </w:pPr>
                <w:r w:rsidRPr="009A0B72">
                  <w:rPr>
                    <w:rFonts w:ascii="MS Gothic" w:eastAsia="MS Gothic" w:hAnsi="MS Gothic" w:hint="eastAsia"/>
                    <w:b/>
                    <w:bCs/>
                  </w:rPr>
                  <w:t>☐</w:t>
                </w:r>
              </w:p>
            </w:tc>
          </w:sdtContent>
        </w:sdt>
        <w:tc>
          <w:tcPr>
            <w:tcW w:w="2649" w:type="dxa"/>
            <w:tcBorders>
              <w:top w:val="nil"/>
              <w:left w:val="nil"/>
            </w:tcBorders>
            <w:vAlign w:val="center"/>
          </w:tcPr>
          <w:p w14:paraId="51953B53" w14:textId="77777777" w:rsidR="006319F6" w:rsidRPr="009A0B72" w:rsidRDefault="006319F6" w:rsidP="007815C0">
            <w:pPr>
              <w:pStyle w:val="AralkYok"/>
              <w:jc w:val="both"/>
              <w:rPr>
                <w:rFonts w:ascii="Cambria" w:hAnsi="Cambria"/>
                <w:b/>
                <w:bCs/>
              </w:rPr>
            </w:pPr>
            <w:r w:rsidRPr="009A0B72">
              <w:rPr>
                <w:rFonts w:ascii="Cambria" w:hAnsi="Cambria"/>
                <w:b/>
                <w:bCs/>
              </w:rPr>
              <w:t>Sözleşme/Protokol</w:t>
            </w:r>
          </w:p>
        </w:tc>
      </w:tr>
      <w:tr w:rsidR="009A0B72" w14:paraId="19B8A0EA" w14:textId="77777777" w:rsidTr="006319F6">
        <w:tc>
          <w:tcPr>
            <w:tcW w:w="2508" w:type="dxa"/>
            <w:shd w:val="clear" w:color="auto" w:fill="F2F2F2" w:themeFill="background1" w:themeFillShade="F2"/>
            <w:vAlign w:val="center"/>
          </w:tcPr>
          <w:p w14:paraId="762EC035" w14:textId="77777777" w:rsidR="009A0B72" w:rsidRDefault="009A0B72" w:rsidP="007815C0">
            <w:pPr>
              <w:pStyle w:val="AralkYok"/>
              <w:jc w:val="both"/>
              <w:rPr>
                <w:rFonts w:ascii="Cambria" w:hAnsi="Cambria"/>
                <w:b/>
                <w:bCs/>
                <w:color w:val="002060"/>
              </w:rPr>
            </w:pPr>
            <w:r>
              <w:rPr>
                <w:rFonts w:ascii="Cambria" w:hAnsi="Cambria"/>
                <w:b/>
                <w:bCs/>
                <w:color w:val="002060"/>
              </w:rPr>
              <w:t>Doküman Adı</w:t>
            </w:r>
          </w:p>
        </w:tc>
        <w:tc>
          <w:tcPr>
            <w:tcW w:w="12052" w:type="dxa"/>
            <w:gridSpan w:val="8"/>
            <w:vAlign w:val="center"/>
          </w:tcPr>
          <w:p w14:paraId="7A90A28B" w14:textId="3C09F1A7" w:rsidR="009A0B72" w:rsidRPr="009A0B72" w:rsidRDefault="003B3E96" w:rsidP="007815C0">
            <w:pPr>
              <w:pStyle w:val="AralkYok"/>
              <w:jc w:val="both"/>
              <w:rPr>
                <w:rFonts w:ascii="Cambria" w:hAnsi="Cambria"/>
                <w:b/>
                <w:bCs/>
                <w:color w:val="002060"/>
                <w:sz w:val="24"/>
              </w:rPr>
            </w:pPr>
            <w:hyperlink r:id="rId6" w:history="1">
              <w:r w:rsidR="00F402FA" w:rsidRPr="00F402FA">
                <w:rPr>
                  <w:rStyle w:val="Kpr"/>
                  <w:rFonts w:ascii="Cambria" w:hAnsi="Cambria"/>
                  <w:b/>
                  <w:bCs/>
                  <w:sz w:val="24"/>
                </w:rPr>
                <w:t>Devlet Yükseköğretim Kurumlarında Öğretim Elemanı Norm Kadrolarının Belirlenmesine ve Kullanılmasına İlişkin Yönetmelik</w:t>
              </w:r>
            </w:hyperlink>
          </w:p>
        </w:tc>
      </w:tr>
    </w:tbl>
    <w:p w14:paraId="5B01F292" w14:textId="77777777" w:rsidR="00BE3E80" w:rsidRDefault="00BE3E80" w:rsidP="007815C0">
      <w:pPr>
        <w:pStyle w:val="AralkYok"/>
        <w:jc w:val="both"/>
        <w:rPr>
          <w:rFonts w:ascii="Cambria" w:hAnsi="Cambria"/>
          <w:b/>
          <w:bCs/>
          <w:color w:val="002060"/>
        </w:rPr>
      </w:pPr>
    </w:p>
    <w:tbl>
      <w:tblPr>
        <w:tblStyle w:val="TabloKlavuzuAk"/>
        <w:tblW w:w="0" w:type="auto"/>
        <w:tblLook w:val="04A0" w:firstRow="1" w:lastRow="0" w:firstColumn="1" w:lastColumn="0" w:noHBand="0" w:noVBand="1"/>
      </w:tblPr>
      <w:tblGrid>
        <w:gridCol w:w="7280"/>
        <w:gridCol w:w="7280"/>
      </w:tblGrid>
      <w:tr w:rsidR="009A0B72" w14:paraId="25F67838" w14:textId="77777777" w:rsidTr="009A0B72">
        <w:tc>
          <w:tcPr>
            <w:tcW w:w="7280" w:type="dxa"/>
            <w:shd w:val="clear" w:color="auto" w:fill="F2F2F2" w:themeFill="background1" w:themeFillShade="F2"/>
          </w:tcPr>
          <w:p w14:paraId="74C3A267" w14:textId="77777777" w:rsidR="009A0B72" w:rsidRDefault="009A0B72" w:rsidP="007815C0">
            <w:pPr>
              <w:pStyle w:val="AralkYok"/>
              <w:jc w:val="both"/>
              <w:rPr>
                <w:rFonts w:ascii="Cambria" w:hAnsi="Cambria"/>
                <w:b/>
                <w:bCs/>
                <w:color w:val="002060"/>
              </w:rPr>
            </w:pPr>
            <w:r>
              <w:rPr>
                <w:rFonts w:ascii="Cambria" w:hAnsi="Cambria"/>
                <w:b/>
                <w:bCs/>
                <w:color w:val="002060"/>
              </w:rPr>
              <w:t>ESKİ ŞEKLİ</w:t>
            </w:r>
          </w:p>
        </w:tc>
        <w:tc>
          <w:tcPr>
            <w:tcW w:w="7280" w:type="dxa"/>
            <w:shd w:val="clear" w:color="auto" w:fill="F2F2F2" w:themeFill="background1" w:themeFillShade="F2"/>
          </w:tcPr>
          <w:p w14:paraId="103A41AE" w14:textId="77777777" w:rsidR="009A0B72" w:rsidRDefault="009A0B72" w:rsidP="007815C0">
            <w:pPr>
              <w:pStyle w:val="AralkYok"/>
              <w:jc w:val="both"/>
              <w:rPr>
                <w:rFonts w:ascii="Cambria" w:hAnsi="Cambria"/>
                <w:b/>
                <w:bCs/>
                <w:color w:val="002060"/>
              </w:rPr>
            </w:pPr>
            <w:r>
              <w:rPr>
                <w:rFonts w:ascii="Cambria" w:hAnsi="Cambria"/>
                <w:b/>
                <w:bCs/>
                <w:color w:val="002060"/>
              </w:rPr>
              <w:t>YENİ ŞEKLİ</w:t>
            </w:r>
          </w:p>
        </w:tc>
      </w:tr>
      <w:tr w:rsidR="009A0B72" w:rsidRPr="009A0B72" w14:paraId="039C85AD" w14:textId="77777777" w:rsidTr="009A0B72">
        <w:tc>
          <w:tcPr>
            <w:tcW w:w="7280" w:type="dxa"/>
          </w:tcPr>
          <w:p w14:paraId="7B6EC52C" w14:textId="2E982637" w:rsidR="009A0B72" w:rsidRPr="00F402FA" w:rsidRDefault="00F402FA" w:rsidP="007815C0">
            <w:pPr>
              <w:pStyle w:val="AralkYok"/>
              <w:jc w:val="both"/>
              <w:rPr>
                <w:rFonts w:ascii="Cambria" w:hAnsi="Cambria" w:cs="Times New Roman"/>
                <w:bCs/>
              </w:rPr>
            </w:pPr>
            <w:r w:rsidRPr="00F402FA">
              <w:rPr>
                <w:rFonts w:ascii="Cambria" w:hAnsi="Cambria" w:cs="Times New Roman"/>
                <w:b/>
              </w:rPr>
              <w:t>MADDE 4 – (2)</w:t>
            </w:r>
            <w:r w:rsidRPr="00F402FA">
              <w:rPr>
                <w:rFonts w:ascii="Cambria" w:hAnsi="Cambria" w:cs="Times New Roman"/>
                <w:bCs/>
              </w:rPr>
              <w:t xml:space="preserve"> Yükseköğretim kurumları, asgari kadro sayısının iki katına kadar norm kadro planlaması yapabilir. Yükseköğretim Kurulu tarafından Bölgesel Kalkınma Odaklı Misyon Farklılaşması ve İhtisaslaşma kapsamında belirlenen yükseköğretim kurumları, ihtisas alanlarıyla doğrudan ilgili birimleri için asgari kadro sayısının üç katına kadar; Araştırma Üniversitesi olarak belirlenen yükseköğretim kurumları ise dört katına kadar norm kadro planlaması yapabilir. Araştırma Üniversiteleri tarafından planlama yapılırken önlisans ve lisans programlarındaki öğrenci sayısı, lisansüstü programlardaki öğrenci ve mezun sayısı, programların yürütülmesindeki ders ağırlıkları, araştırma ve geliştirme ile hizmet sunumu gibi akademik faaliyetler çerçevesinde değerlendirilecek hususlar dikkate alınır. </w:t>
            </w:r>
            <w:r w:rsidRPr="00F402FA">
              <w:rPr>
                <w:rFonts w:ascii="Cambria" w:hAnsi="Cambria" w:cs="Times New Roman"/>
                <w:b/>
                <w:strike/>
                <w:color w:val="FF0000"/>
              </w:rPr>
              <w:t>Bu fıkra kapsamında asgari kadro sayısı dışındaki norm kadrolar, ilgili anabilim/</w:t>
            </w:r>
            <w:proofErr w:type="spellStart"/>
            <w:r w:rsidRPr="00F402FA">
              <w:rPr>
                <w:rFonts w:ascii="Cambria" w:hAnsi="Cambria" w:cs="Times New Roman"/>
                <w:b/>
                <w:strike/>
                <w:color w:val="FF0000"/>
              </w:rPr>
              <w:t>anasanat</w:t>
            </w:r>
            <w:proofErr w:type="spellEnd"/>
            <w:r w:rsidRPr="00F402FA">
              <w:rPr>
                <w:rFonts w:ascii="Cambria" w:hAnsi="Cambria" w:cs="Times New Roman"/>
                <w:b/>
                <w:strike/>
                <w:color w:val="FF0000"/>
              </w:rPr>
              <w:t xml:space="preserve"> dalı ve bölüm kurulunun görüşü alınarak ilgili meslek yüksekokulu, konservatuvar, yüksekokul, fakülte ve enstitü yönetim kurulu tarafından planlanır.</w:t>
            </w:r>
          </w:p>
        </w:tc>
        <w:tc>
          <w:tcPr>
            <w:tcW w:w="7280" w:type="dxa"/>
          </w:tcPr>
          <w:p w14:paraId="638F181A" w14:textId="1DFEE021" w:rsidR="009A0B72" w:rsidRPr="00F402FA" w:rsidRDefault="00F402FA" w:rsidP="007815C0">
            <w:pPr>
              <w:pStyle w:val="AralkYok"/>
              <w:jc w:val="both"/>
              <w:rPr>
                <w:rFonts w:ascii="Cambria" w:hAnsi="Cambria" w:cs="Times New Roman"/>
                <w:bCs/>
              </w:rPr>
            </w:pPr>
            <w:r w:rsidRPr="00F402FA">
              <w:rPr>
                <w:rFonts w:ascii="Cambria" w:hAnsi="Cambria" w:cs="Times New Roman"/>
                <w:b/>
              </w:rPr>
              <w:t>MADDE 4 – (2)</w:t>
            </w:r>
            <w:r w:rsidRPr="00F402FA">
              <w:rPr>
                <w:rFonts w:ascii="Cambria" w:hAnsi="Cambria" w:cs="Times New Roman"/>
                <w:bCs/>
              </w:rPr>
              <w:t xml:space="preserve"> Yükseköğretim kurumları, asgari kadro sayısının iki katına kadar norm kadro planlaması yapabilir. Yükseköğretim Kurulu tarafından Bölgesel Kalkınma Odaklı Misyon Farklılaşması ve İhtisaslaşma kapsamında belirlenen yükseköğretim kurumları, ihtisas alanlarıyla doğrudan ilgili birimleri için asgari kadro sayısının üç katına kadar; Araştırma Üniversitesi olarak belirlenen yükseköğretim kurumları ise dört katına kadar norm kadro planlaması yapabilir. Araştırma Üniversiteleri tarafından planlama yapılırken önlisans ve lisans programlarındaki öğrenci sayısı, lisansüstü programlardaki öğrenci ve mezun sayısı, programların yürütülmesindeki ders ağırlıkları, araştırma ve geliştirme ile hizmet sunumu gibi akademik faaliyetler çerçevesinde değerlendirilecek hususlar dikkate alınır. </w:t>
            </w:r>
            <w:r w:rsidRPr="00F402FA">
              <w:rPr>
                <w:rFonts w:ascii="Cambria" w:hAnsi="Cambria" w:cs="Times New Roman"/>
                <w:b/>
                <w:color w:val="FF0000"/>
              </w:rPr>
              <w:t>Bu fıkra kapsamında asgari kadro sayısı dışındaki norm kadrolar, ilgili anabilim/</w:t>
            </w:r>
            <w:proofErr w:type="spellStart"/>
            <w:r w:rsidRPr="00F402FA">
              <w:rPr>
                <w:rFonts w:ascii="Cambria" w:hAnsi="Cambria" w:cs="Times New Roman"/>
                <w:b/>
                <w:color w:val="FF0000"/>
              </w:rPr>
              <w:t>anasanat</w:t>
            </w:r>
            <w:proofErr w:type="spellEnd"/>
            <w:r w:rsidRPr="00F402FA">
              <w:rPr>
                <w:rFonts w:ascii="Cambria" w:hAnsi="Cambria" w:cs="Times New Roman"/>
                <w:b/>
                <w:color w:val="FF0000"/>
              </w:rPr>
              <w:t xml:space="preserve"> dalı ve bölüm kurulu ile ilgili birim yönetim kurulunun görüşü alınarak rektör tarafından planlanır.</w:t>
            </w:r>
          </w:p>
        </w:tc>
      </w:tr>
      <w:tr w:rsidR="00925B46" w:rsidRPr="009A0B72" w14:paraId="5BD3BEF5" w14:textId="77777777" w:rsidTr="009A0B72">
        <w:tc>
          <w:tcPr>
            <w:tcW w:w="7280" w:type="dxa"/>
          </w:tcPr>
          <w:p w14:paraId="26C0E45D" w14:textId="39CE1408" w:rsidR="00925B46" w:rsidRPr="00F402FA" w:rsidRDefault="00F402FA" w:rsidP="007815C0">
            <w:pPr>
              <w:pStyle w:val="AralkYok"/>
              <w:jc w:val="both"/>
              <w:rPr>
                <w:rFonts w:ascii="Cambria" w:hAnsi="Cambria" w:cs="Times New Roman"/>
                <w:bCs/>
              </w:rPr>
            </w:pPr>
            <w:r w:rsidRPr="00F402FA">
              <w:rPr>
                <w:rFonts w:ascii="Cambria" w:hAnsi="Cambria" w:cs="Times New Roman"/>
                <w:b/>
              </w:rPr>
              <w:t>MADDE 4 – (3)</w:t>
            </w:r>
            <w:r w:rsidR="00275E16">
              <w:rPr>
                <w:rFonts w:ascii="Cambria" w:hAnsi="Cambria" w:cs="Times New Roman"/>
                <w:b/>
              </w:rPr>
              <w:t xml:space="preserve"> </w:t>
            </w:r>
            <w:r w:rsidRPr="00275E16">
              <w:rPr>
                <w:rFonts w:ascii="Cambria" w:hAnsi="Cambria" w:cs="Times New Roman"/>
                <w:b/>
                <w:bCs/>
                <w:strike/>
                <w:color w:val="FF0000"/>
              </w:rPr>
              <w:t>Yükseköğretim kurumlarında norm kadroların yeterli olmaması halinde norm dışı kadro talebi, ilgili anabilim/</w:t>
            </w:r>
            <w:proofErr w:type="spellStart"/>
            <w:r w:rsidRPr="00275E16">
              <w:rPr>
                <w:rFonts w:ascii="Cambria" w:hAnsi="Cambria" w:cs="Times New Roman"/>
                <w:b/>
                <w:bCs/>
                <w:strike/>
                <w:color w:val="FF0000"/>
              </w:rPr>
              <w:t>anasanat</w:t>
            </w:r>
            <w:proofErr w:type="spellEnd"/>
            <w:r w:rsidRPr="00275E16">
              <w:rPr>
                <w:rFonts w:ascii="Cambria" w:hAnsi="Cambria" w:cs="Times New Roman"/>
                <w:b/>
                <w:bCs/>
                <w:strike/>
                <w:color w:val="FF0000"/>
              </w:rPr>
              <w:t xml:space="preserve"> dalı </w:t>
            </w:r>
            <w:r w:rsidRPr="00275E16">
              <w:rPr>
                <w:rFonts w:ascii="Cambria" w:hAnsi="Cambria" w:cs="Times New Roman"/>
                <w:b/>
                <w:bCs/>
                <w:strike/>
                <w:color w:val="FF0000"/>
                <w:u w:val="single"/>
              </w:rPr>
              <w:t xml:space="preserve">ve </w:t>
            </w:r>
            <w:r w:rsidRPr="00275E16">
              <w:rPr>
                <w:rFonts w:ascii="Cambria" w:hAnsi="Cambria" w:cs="Times New Roman"/>
                <w:b/>
                <w:bCs/>
                <w:strike/>
                <w:color w:val="FF0000"/>
              </w:rPr>
              <w:t>bölüm kurulunun görüşü, ilgili birim ve üniversite yönetim kurulunun gerekçeli kararı ile Yükseköğretim Kuruluna iletilir</w:t>
            </w:r>
            <w:r w:rsidRPr="00275E16">
              <w:rPr>
                <w:rFonts w:ascii="Cambria" w:hAnsi="Cambria" w:cs="Times New Roman"/>
                <w:color w:val="000000"/>
              </w:rPr>
              <w:t>. Bu talep, öğretim üyesi başına düşen öğrenci sayısı, ileri düzey araştırma ve geliştirme faaliyetleri, doktora ve dengi programlarından mezun sayısı, üniversitenin eğitim ve öğretim dışında yürüttüğü hizmetler dikkate alınarak Yükseköğretim Kurulu tarafından karara bağlanır.</w:t>
            </w:r>
          </w:p>
        </w:tc>
        <w:tc>
          <w:tcPr>
            <w:tcW w:w="7280" w:type="dxa"/>
          </w:tcPr>
          <w:p w14:paraId="51058532" w14:textId="2530C677" w:rsidR="00925B46" w:rsidRPr="00F402FA" w:rsidRDefault="00F402FA" w:rsidP="007815C0">
            <w:pPr>
              <w:pStyle w:val="AralkYok"/>
              <w:jc w:val="both"/>
              <w:rPr>
                <w:rFonts w:ascii="Cambria" w:hAnsi="Cambria" w:cs="Times New Roman"/>
                <w:bCs/>
              </w:rPr>
            </w:pPr>
            <w:r w:rsidRPr="00275E16">
              <w:rPr>
                <w:rFonts w:ascii="Cambria" w:hAnsi="Cambria" w:cs="Times New Roman"/>
                <w:b/>
              </w:rPr>
              <w:t>MADDE 4 – (3)</w:t>
            </w:r>
            <w:r w:rsidRPr="00F402FA">
              <w:rPr>
                <w:rFonts w:ascii="Cambria" w:hAnsi="Cambria" w:cs="Times New Roman"/>
                <w:bCs/>
              </w:rPr>
              <w:t xml:space="preserve"> </w:t>
            </w:r>
            <w:r w:rsidRPr="00275E16">
              <w:rPr>
                <w:rFonts w:ascii="Cambria" w:hAnsi="Cambria" w:cs="Times New Roman"/>
                <w:b/>
                <w:color w:val="FF0000"/>
              </w:rPr>
              <w:t>Yükseköğretim kurumlarında norm kadroların yeterli olmaması halinde norm dışı kadro talebi, ilgili anabilim/</w:t>
            </w:r>
            <w:proofErr w:type="spellStart"/>
            <w:r w:rsidRPr="00275E16">
              <w:rPr>
                <w:rFonts w:ascii="Cambria" w:hAnsi="Cambria" w:cs="Times New Roman"/>
                <w:b/>
                <w:color w:val="FF0000"/>
              </w:rPr>
              <w:t>anasanat</w:t>
            </w:r>
            <w:proofErr w:type="spellEnd"/>
            <w:r w:rsidRPr="00275E16">
              <w:rPr>
                <w:rFonts w:ascii="Cambria" w:hAnsi="Cambria" w:cs="Times New Roman"/>
                <w:b/>
                <w:color w:val="FF0000"/>
              </w:rPr>
              <w:t xml:space="preserve"> dalı ve bölüm kurulu ile ilgili birim ve üniversite yönetim kurulunun görüşü alınarak rektör tarafından Yükseköğretim Kuruluna iletilir</w:t>
            </w:r>
            <w:r w:rsidRPr="00F402FA">
              <w:rPr>
                <w:rFonts w:ascii="Cambria" w:hAnsi="Cambria" w:cs="Times New Roman"/>
                <w:bCs/>
              </w:rPr>
              <w:t>.  Bu talep, öğretim üyesi başına düşen öğrenci sayısı, ileri düzey araştırma ve geliştirme faaliyetleri, doktora ve dengi programlarından mezun sayısı, üniversitenin eğitim ve öğretim dışında yürüttüğü hizmetler dikkate alınarak Yükseköğretim Kurulu tarafından karara bağlanır.</w:t>
            </w:r>
          </w:p>
        </w:tc>
      </w:tr>
      <w:tr w:rsidR="00925B46" w:rsidRPr="009A0B72" w14:paraId="1B831C08" w14:textId="77777777" w:rsidTr="009A0B72">
        <w:tc>
          <w:tcPr>
            <w:tcW w:w="7280" w:type="dxa"/>
          </w:tcPr>
          <w:p w14:paraId="65519724" w14:textId="104124E6" w:rsidR="00925B46" w:rsidRPr="009A0B72" w:rsidRDefault="007815C0" w:rsidP="007B74BF">
            <w:pPr>
              <w:pStyle w:val="AralkYok"/>
              <w:jc w:val="both"/>
              <w:rPr>
                <w:rFonts w:ascii="Cambria" w:hAnsi="Cambria"/>
                <w:bCs/>
              </w:rPr>
            </w:pPr>
            <w:r w:rsidRPr="007B74BF">
              <w:rPr>
                <w:rFonts w:ascii="Cambria" w:hAnsi="Cambria"/>
                <w:b/>
              </w:rPr>
              <w:t>MADDE 4 – (4)</w:t>
            </w:r>
            <w:r w:rsidRPr="007815C0">
              <w:rPr>
                <w:rFonts w:ascii="Cambria" w:hAnsi="Cambria"/>
                <w:bCs/>
              </w:rPr>
              <w:t xml:space="preserve"> Fakülte veya bölüm lisans programı için norm kadrolar, üniversiteler tarafından anabilim/</w:t>
            </w:r>
            <w:proofErr w:type="spellStart"/>
            <w:r w:rsidRPr="007815C0">
              <w:rPr>
                <w:rFonts w:ascii="Cambria" w:hAnsi="Cambria"/>
                <w:bCs/>
              </w:rPr>
              <w:t>anasanat</w:t>
            </w:r>
            <w:proofErr w:type="spellEnd"/>
            <w:r w:rsidRPr="007815C0">
              <w:rPr>
                <w:rFonts w:ascii="Cambria" w:hAnsi="Cambria"/>
                <w:bCs/>
              </w:rPr>
              <w:t xml:space="preserve"> dalı çeşitliliği göz önünde bulundurularak fakülte veya bölümü oluşturan anabilim/</w:t>
            </w:r>
            <w:proofErr w:type="spellStart"/>
            <w:r w:rsidRPr="007815C0">
              <w:rPr>
                <w:rFonts w:ascii="Cambria" w:hAnsi="Cambria"/>
                <w:bCs/>
              </w:rPr>
              <w:t>anasanat</w:t>
            </w:r>
            <w:proofErr w:type="spellEnd"/>
            <w:r w:rsidRPr="007815C0">
              <w:rPr>
                <w:rFonts w:ascii="Cambria" w:hAnsi="Cambria"/>
                <w:bCs/>
              </w:rPr>
              <w:t xml:space="preserve"> dallarının her birine bir öğretim üyesi düşecek şekilde planlanır. </w:t>
            </w:r>
            <w:r w:rsidRPr="001A5E8C">
              <w:rPr>
                <w:rFonts w:ascii="Cambria" w:hAnsi="Cambria"/>
                <w:b/>
                <w:strike/>
                <w:color w:val="FF0000"/>
              </w:rPr>
              <w:lastRenderedPageBreak/>
              <w:t>Anabilim/</w:t>
            </w:r>
            <w:proofErr w:type="spellStart"/>
            <w:r w:rsidRPr="001A5E8C">
              <w:rPr>
                <w:rFonts w:ascii="Cambria" w:hAnsi="Cambria"/>
                <w:b/>
                <w:strike/>
                <w:color w:val="FF0000"/>
              </w:rPr>
              <w:t>anasanat</w:t>
            </w:r>
            <w:proofErr w:type="spellEnd"/>
            <w:r w:rsidRPr="001A5E8C">
              <w:rPr>
                <w:rFonts w:ascii="Cambria" w:hAnsi="Cambria"/>
                <w:b/>
                <w:strike/>
                <w:color w:val="FF0000"/>
              </w:rPr>
              <w:t xml:space="preserve"> dalları dikkate alınarak belirlenen norm kadro sayısı, anabilim/</w:t>
            </w:r>
            <w:proofErr w:type="spellStart"/>
            <w:r w:rsidRPr="001A5E8C">
              <w:rPr>
                <w:rFonts w:ascii="Cambria" w:hAnsi="Cambria"/>
                <w:b/>
                <w:strike/>
                <w:color w:val="FF0000"/>
              </w:rPr>
              <w:t>anasanat</w:t>
            </w:r>
            <w:proofErr w:type="spellEnd"/>
            <w:r w:rsidRPr="001A5E8C">
              <w:rPr>
                <w:rFonts w:ascii="Cambria" w:hAnsi="Cambria"/>
                <w:b/>
                <w:strike/>
                <w:color w:val="FF0000"/>
              </w:rPr>
              <w:t xml:space="preserve"> dalı ve bölüm kurulunun görüşü üzerine ilgili fakülte ve üniversite yönetim kurulunun gerekçeli kararıyla bölüm veya fakülte düzeyinde iki katına kadar artırılabilir.</w:t>
            </w:r>
          </w:p>
        </w:tc>
        <w:tc>
          <w:tcPr>
            <w:tcW w:w="7280" w:type="dxa"/>
          </w:tcPr>
          <w:p w14:paraId="06202DA1" w14:textId="2E315789" w:rsidR="00925B46" w:rsidRPr="009A0B72" w:rsidRDefault="007815C0" w:rsidP="007B74BF">
            <w:pPr>
              <w:pStyle w:val="AralkYok"/>
              <w:jc w:val="both"/>
              <w:rPr>
                <w:rFonts w:ascii="Cambria" w:hAnsi="Cambria"/>
                <w:bCs/>
              </w:rPr>
            </w:pPr>
            <w:r w:rsidRPr="007B74BF">
              <w:rPr>
                <w:rFonts w:ascii="Cambria" w:hAnsi="Cambria"/>
                <w:b/>
              </w:rPr>
              <w:lastRenderedPageBreak/>
              <w:t>MADDE 4 – (4)</w:t>
            </w:r>
            <w:r w:rsidRPr="007815C0">
              <w:rPr>
                <w:rFonts w:ascii="Cambria" w:hAnsi="Cambria"/>
                <w:bCs/>
              </w:rPr>
              <w:t xml:space="preserve"> Fakülte veya bölüm lisans programı için norm kadrolar, üniversiteler tarafından anabilim/</w:t>
            </w:r>
            <w:proofErr w:type="spellStart"/>
            <w:r w:rsidRPr="007815C0">
              <w:rPr>
                <w:rFonts w:ascii="Cambria" w:hAnsi="Cambria"/>
                <w:bCs/>
              </w:rPr>
              <w:t>anasanat</w:t>
            </w:r>
            <w:proofErr w:type="spellEnd"/>
            <w:r w:rsidRPr="007815C0">
              <w:rPr>
                <w:rFonts w:ascii="Cambria" w:hAnsi="Cambria"/>
                <w:bCs/>
              </w:rPr>
              <w:t xml:space="preserve"> dalı çeşitliliği göz önünde bulundurularak fakülte veya bölümü oluşturan anabilim/</w:t>
            </w:r>
            <w:proofErr w:type="spellStart"/>
            <w:r w:rsidRPr="007815C0">
              <w:rPr>
                <w:rFonts w:ascii="Cambria" w:hAnsi="Cambria"/>
                <w:bCs/>
              </w:rPr>
              <w:t>anasanat</w:t>
            </w:r>
            <w:proofErr w:type="spellEnd"/>
            <w:r w:rsidRPr="007815C0">
              <w:rPr>
                <w:rFonts w:ascii="Cambria" w:hAnsi="Cambria"/>
                <w:bCs/>
              </w:rPr>
              <w:t xml:space="preserve"> dallarının her birine bir öğretim üyesi düşecek şekilde planlanır. </w:t>
            </w:r>
            <w:r w:rsidRPr="001A5E8C">
              <w:rPr>
                <w:rFonts w:ascii="Cambria" w:hAnsi="Cambria"/>
                <w:b/>
                <w:color w:val="FF0000"/>
              </w:rPr>
              <w:lastRenderedPageBreak/>
              <w:t>Anabilim/</w:t>
            </w:r>
            <w:proofErr w:type="spellStart"/>
            <w:r w:rsidRPr="001A5E8C">
              <w:rPr>
                <w:rFonts w:ascii="Cambria" w:hAnsi="Cambria"/>
                <w:b/>
                <w:color w:val="FF0000"/>
              </w:rPr>
              <w:t>anasanat</w:t>
            </w:r>
            <w:proofErr w:type="spellEnd"/>
            <w:r w:rsidRPr="001A5E8C">
              <w:rPr>
                <w:rFonts w:ascii="Cambria" w:hAnsi="Cambria"/>
                <w:b/>
                <w:color w:val="FF0000"/>
              </w:rPr>
              <w:t xml:space="preserve"> dalları dikkate alınarak belirlenen norm kadro sayısı, ilgili anabilim/</w:t>
            </w:r>
            <w:proofErr w:type="spellStart"/>
            <w:r w:rsidRPr="001A5E8C">
              <w:rPr>
                <w:rFonts w:ascii="Cambria" w:hAnsi="Cambria"/>
                <w:b/>
                <w:color w:val="FF0000"/>
              </w:rPr>
              <w:t>anasanat</w:t>
            </w:r>
            <w:proofErr w:type="spellEnd"/>
            <w:r w:rsidRPr="001A5E8C">
              <w:rPr>
                <w:rFonts w:ascii="Cambria" w:hAnsi="Cambria"/>
                <w:b/>
                <w:color w:val="FF0000"/>
              </w:rPr>
              <w:t xml:space="preserve"> dalı ve bölüm kurulu ile ilgili fakülte ve üniversite yönetim kurulunun görüşü alınarak rektör tarafından bölüm veya fakülte düzeyinde iki katına kadar artırılabilir.</w:t>
            </w:r>
          </w:p>
        </w:tc>
      </w:tr>
      <w:tr w:rsidR="00925B46" w:rsidRPr="009A0B72" w14:paraId="1514469A" w14:textId="77777777" w:rsidTr="009A0B72">
        <w:tc>
          <w:tcPr>
            <w:tcW w:w="7280" w:type="dxa"/>
          </w:tcPr>
          <w:p w14:paraId="0FD72EA2" w14:textId="40742910" w:rsidR="00925B46" w:rsidRPr="009A0B72" w:rsidRDefault="007815C0" w:rsidP="007B74BF">
            <w:pPr>
              <w:pStyle w:val="AralkYok"/>
              <w:jc w:val="both"/>
              <w:rPr>
                <w:rFonts w:ascii="Cambria" w:hAnsi="Cambria"/>
                <w:bCs/>
              </w:rPr>
            </w:pPr>
            <w:r w:rsidRPr="007B74BF">
              <w:rPr>
                <w:rFonts w:ascii="Cambria" w:hAnsi="Cambria"/>
                <w:b/>
              </w:rPr>
              <w:lastRenderedPageBreak/>
              <w:t>MADDE 4 – (5)</w:t>
            </w:r>
            <w:r w:rsidRPr="007815C0">
              <w:rPr>
                <w:rFonts w:ascii="Cambria" w:hAnsi="Cambria"/>
                <w:bCs/>
              </w:rPr>
              <w:t xml:space="preserve"> Anabilim/</w:t>
            </w:r>
            <w:proofErr w:type="spellStart"/>
            <w:r w:rsidRPr="007815C0">
              <w:rPr>
                <w:rFonts w:ascii="Cambria" w:hAnsi="Cambria"/>
                <w:bCs/>
              </w:rPr>
              <w:t>anasanat</w:t>
            </w:r>
            <w:proofErr w:type="spellEnd"/>
            <w:r w:rsidRPr="007815C0">
              <w:rPr>
                <w:rFonts w:ascii="Cambria" w:hAnsi="Cambria"/>
                <w:bCs/>
              </w:rPr>
              <w:t xml:space="preserve"> dalı ve programa öğrenci alan önlisans ve lisans programları ile bünyesinde lisans eğitimi olmamakla birlikte servis dersi veren birimler için öğretim elemanı norm kadro sayısı, anabilim/</w:t>
            </w:r>
            <w:proofErr w:type="spellStart"/>
            <w:r w:rsidRPr="007815C0">
              <w:rPr>
                <w:rFonts w:ascii="Cambria" w:hAnsi="Cambria"/>
                <w:bCs/>
              </w:rPr>
              <w:t>anasanat</w:t>
            </w:r>
            <w:proofErr w:type="spellEnd"/>
            <w:r w:rsidRPr="007815C0">
              <w:rPr>
                <w:rFonts w:ascii="Cambria" w:hAnsi="Cambria"/>
                <w:bCs/>
              </w:rPr>
              <w:t xml:space="preserve"> dalı ve </w:t>
            </w:r>
            <w:r w:rsidRPr="00E80AFC">
              <w:rPr>
                <w:rFonts w:ascii="Cambria" w:hAnsi="Cambria"/>
                <w:b/>
                <w:strike/>
                <w:color w:val="FF0000"/>
              </w:rPr>
              <w:t>bölüm kurulunun görüşü alınmak şartıyla ilgili birim yönetim kurulu kararıyla</w:t>
            </w:r>
            <w:r w:rsidRPr="00E80AFC">
              <w:rPr>
                <w:rFonts w:ascii="Cambria" w:hAnsi="Cambria"/>
                <w:bCs/>
                <w:color w:val="FF0000"/>
              </w:rPr>
              <w:t xml:space="preserve"> </w:t>
            </w:r>
            <w:r w:rsidRPr="007815C0">
              <w:rPr>
                <w:rFonts w:ascii="Cambria" w:hAnsi="Cambria"/>
                <w:bCs/>
              </w:rPr>
              <w:t>asgari kadro sayısının iki katına kadar belirlenebilir</w:t>
            </w:r>
          </w:p>
        </w:tc>
        <w:tc>
          <w:tcPr>
            <w:tcW w:w="7280" w:type="dxa"/>
          </w:tcPr>
          <w:p w14:paraId="4D24BA84" w14:textId="2599A7AB" w:rsidR="00925B46" w:rsidRPr="009A0B72" w:rsidRDefault="007815C0" w:rsidP="007B74BF">
            <w:pPr>
              <w:pStyle w:val="AralkYok"/>
              <w:jc w:val="both"/>
              <w:rPr>
                <w:rFonts w:ascii="Cambria" w:hAnsi="Cambria"/>
                <w:bCs/>
              </w:rPr>
            </w:pPr>
            <w:r w:rsidRPr="007B74BF">
              <w:rPr>
                <w:rFonts w:ascii="Cambria" w:hAnsi="Cambria"/>
                <w:b/>
              </w:rPr>
              <w:t>MADDE 4 – (5)</w:t>
            </w:r>
            <w:r w:rsidRPr="007815C0">
              <w:rPr>
                <w:rFonts w:ascii="Cambria" w:hAnsi="Cambria"/>
                <w:bCs/>
              </w:rPr>
              <w:t xml:space="preserve"> Anabilim/</w:t>
            </w:r>
            <w:proofErr w:type="spellStart"/>
            <w:r w:rsidRPr="007815C0">
              <w:rPr>
                <w:rFonts w:ascii="Cambria" w:hAnsi="Cambria"/>
                <w:bCs/>
              </w:rPr>
              <w:t>anasanat</w:t>
            </w:r>
            <w:proofErr w:type="spellEnd"/>
            <w:r w:rsidRPr="007815C0">
              <w:rPr>
                <w:rFonts w:ascii="Cambria" w:hAnsi="Cambria"/>
                <w:bCs/>
              </w:rPr>
              <w:t xml:space="preserve"> dalı ve programa öğrenci alan önlisans ve lisans programları ile bünyesinde lisans eğitimi olmamakla birlikte servis dersi veren birimler için öğretim elemanı norm kadro sayısı, anabilim/</w:t>
            </w:r>
            <w:proofErr w:type="spellStart"/>
            <w:r w:rsidRPr="007815C0">
              <w:rPr>
                <w:rFonts w:ascii="Cambria" w:hAnsi="Cambria"/>
                <w:bCs/>
              </w:rPr>
              <w:t>anasanat</w:t>
            </w:r>
            <w:proofErr w:type="spellEnd"/>
            <w:r w:rsidRPr="007815C0">
              <w:rPr>
                <w:rFonts w:ascii="Cambria" w:hAnsi="Cambria"/>
                <w:bCs/>
              </w:rPr>
              <w:t xml:space="preserve"> dalı ve </w:t>
            </w:r>
            <w:r w:rsidRPr="00E80AFC">
              <w:rPr>
                <w:rFonts w:ascii="Cambria" w:hAnsi="Cambria"/>
                <w:b/>
                <w:color w:val="FF0000"/>
              </w:rPr>
              <w:t>bölüm kurulu ile ilgili birim yönetim kurulunun görüşü alınarak rektör tarafından</w:t>
            </w:r>
            <w:r w:rsidRPr="00E80AFC">
              <w:rPr>
                <w:rFonts w:ascii="Cambria" w:hAnsi="Cambria"/>
                <w:bCs/>
                <w:color w:val="FF0000"/>
              </w:rPr>
              <w:t xml:space="preserve"> </w:t>
            </w:r>
            <w:r w:rsidRPr="007815C0">
              <w:rPr>
                <w:rFonts w:ascii="Cambria" w:hAnsi="Cambria"/>
                <w:bCs/>
              </w:rPr>
              <w:t>asgari kadro sayısının iki katına kadar belirlenebilir.</w:t>
            </w:r>
          </w:p>
        </w:tc>
      </w:tr>
      <w:tr w:rsidR="00925B46" w:rsidRPr="009A0B72" w14:paraId="782C7975" w14:textId="77777777" w:rsidTr="009A0B72">
        <w:tc>
          <w:tcPr>
            <w:tcW w:w="7280" w:type="dxa"/>
          </w:tcPr>
          <w:p w14:paraId="45E543F5" w14:textId="11B422C4" w:rsidR="00925B46" w:rsidRPr="009A0B72" w:rsidRDefault="007815C0" w:rsidP="007B74BF">
            <w:pPr>
              <w:pStyle w:val="AralkYok"/>
              <w:jc w:val="both"/>
              <w:rPr>
                <w:rFonts w:ascii="Cambria" w:hAnsi="Cambria"/>
                <w:bCs/>
              </w:rPr>
            </w:pPr>
            <w:r w:rsidRPr="007B74BF">
              <w:rPr>
                <w:rFonts w:ascii="Cambria" w:hAnsi="Cambria"/>
                <w:b/>
              </w:rPr>
              <w:t>MADDE 4 – (6)</w:t>
            </w:r>
            <w:r w:rsidRPr="007815C0">
              <w:rPr>
                <w:rFonts w:ascii="Cambria" w:hAnsi="Cambria"/>
                <w:bCs/>
              </w:rPr>
              <w:t xml:space="preserve"> Yükseköğretim Kurulu tarafından belirlenen ders verecek öğretim üyesi temininde güçlük çekilen özellikli alanlar ile sağlık programlarındaki klinik ve laboratuvar uygulamaları veya mühendislik laboratuvar uygulamalarında ihtiyaç duyulanlar hariç olmak üzere, fakültelerde öğretim görevlisi kadro planlaması yapılamaz. </w:t>
            </w:r>
            <w:r w:rsidRPr="00152355">
              <w:rPr>
                <w:rFonts w:ascii="Cambria" w:hAnsi="Cambria"/>
                <w:b/>
                <w:strike/>
                <w:color w:val="FF0000"/>
              </w:rPr>
              <w:t>Yukarda belirtilen özellikli ve uygulamalı alanlara ilişkin kadro talepleri, anabilim/</w:t>
            </w:r>
            <w:proofErr w:type="spellStart"/>
            <w:r w:rsidRPr="00152355">
              <w:rPr>
                <w:rFonts w:ascii="Cambria" w:hAnsi="Cambria"/>
                <w:b/>
                <w:strike/>
                <w:color w:val="FF0000"/>
              </w:rPr>
              <w:t>anasanat</w:t>
            </w:r>
            <w:proofErr w:type="spellEnd"/>
            <w:r w:rsidRPr="00152355">
              <w:rPr>
                <w:rFonts w:ascii="Cambria" w:hAnsi="Cambria"/>
                <w:b/>
                <w:strike/>
                <w:color w:val="FF0000"/>
              </w:rPr>
              <w:t xml:space="preserve"> dalı ve bölüm kurulunun görüşü, ilgili birim ve üniversite yönetim kurulunun gerekçeli kararı ile Yükseköğretim Kuruluna iletilir ve Yükseköğretim Kurulu tarafından karara bağlanır</w:t>
            </w:r>
            <w:r w:rsidRPr="007815C0">
              <w:rPr>
                <w:rFonts w:ascii="Cambria" w:hAnsi="Cambria"/>
                <w:bCs/>
              </w:rPr>
              <w:t>. Bu şekilde fakültelere ders vermek üzere tahsis edilen öğretim görevlisi kadroları ilgili birimin norm kadrosundan sayılır.</w:t>
            </w:r>
          </w:p>
        </w:tc>
        <w:tc>
          <w:tcPr>
            <w:tcW w:w="7280" w:type="dxa"/>
          </w:tcPr>
          <w:p w14:paraId="076CE8D2" w14:textId="34934169" w:rsidR="00925B46" w:rsidRPr="009A0B72" w:rsidRDefault="007815C0" w:rsidP="007B74BF">
            <w:pPr>
              <w:pStyle w:val="AralkYok"/>
              <w:jc w:val="both"/>
              <w:rPr>
                <w:rFonts w:ascii="Cambria" w:hAnsi="Cambria"/>
                <w:bCs/>
              </w:rPr>
            </w:pPr>
            <w:r w:rsidRPr="007B74BF">
              <w:rPr>
                <w:rFonts w:ascii="Cambria" w:hAnsi="Cambria"/>
                <w:b/>
              </w:rPr>
              <w:t>MADDE 4 –</w:t>
            </w:r>
            <w:r w:rsidR="007B74BF" w:rsidRPr="007B74BF">
              <w:rPr>
                <w:rFonts w:ascii="Cambria" w:hAnsi="Cambria"/>
                <w:b/>
              </w:rPr>
              <w:t xml:space="preserve"> </w:t>
            </w:r>
            <w:r w:rsidRPr="007B74BF">
              <w:rPr>
                <w:rFonts w:ascii="Cambria" w:hAnsi="Cambria"/>
                <w:b/>
              </w:rPr>
              <w:t>(6)</w:t>
            </w:r>
            <w:r w:rsidRPr="007815C0">
              <w:rPr>
                <w:rFonts w:ascii="Cambria" w:hAnsi="Cambria"/>
                <w:bCs/>
              </w:rPr>
              <w:t xml:space="preserve"> Yükseköğretim Kurulu tarafından belirlenen ders verecek öğretim üyesi temininde güçlük çekilen özellikli alanlar ile sağlık programlarındaki klinik ve laboratuvar uygulamaları veya mühendislik laboratuvar uygulamalarında ihtiyaç duyulanlar hariç olmak üzere, fakültelerde öğretim görevlisi kadro planlaması yapılamaz. </w:t>
            </w:r>
            <w:r w:rsidRPr="00152355">
              <w:rPr>
                <w:rFonts w:ascii="Cambria" w:hAnsi="Cambria"/>
                <w:b/>
                <w:color w:val="FF0000"/>
              </w:rPr>
              <w:t>Yukarıda belirtilen özellikli ve uygulamalı alanlara ilişkin öğretim görevlisi kadro talepleri, anabilim/</w:t>
            </w:r>
            <w:proofErr w:type="spellStart"/>
            <w:r w:rsidRPr="00152355">
              <w:rPr>
                <w:rFonts w:ascii="Cambria" w:hAnsi="Cambria"/>
                <w:b/>
                <w:color w:val="FF0000"/>
              </w:rPr>
              <w:t>anasanat</w:t>
            </w:r>
            <w:proofErr w:type="spellEnd"/>
            <w:r w:rsidRPr="00152355">
              <w:rPr>
                <w:rFonts w:ascii="Cambria" w:hAnsi="Cambria"/>
                <w:b/>
                <w:color w:val="FF0000"/>
              </w:rPr>
              <w:t xml:space="preserve"> dalı ve bölüm kurulu ile ilgili birim ve üniversite yönetim kurulunun görüşü alınarak rektör tarafından Yükseköğretim Kuruluna iletilir ve Yükseköğretim Kurulu tarafından karara bağlanır</w:t>
            </w:r>
            <w:r w:rsidRPr="007815C0">
              <w:rPr>
                <w:rFonts w:ascii="Cambria" w:hAnsi="Cambria"/>
                <w:bCs/>
              </w:rPr>
              <w:t>. Bu şekilde fakültelere ders vermek üzere tahsis edilen öğretim görevlisi kadroları ilgili birimin norm kadrosundan sayılır.</w:t>
            </w:r>
          </w:p>
        </w:tc>
      </w:tr>
      <w:tr w:rsidR="00925B46" w:rsidRPr="009A0B72" w14:paraId="7EB62D94" w14:textId="77777777" w:rsidTr="009A0B72">
        <w:tc>
          <w:tcPr>
            <w:tcW w:w="7280" w:type="dxa"/>
          </w:tcPr>
          <w:p w14:paraId="5D3C6E0B" w14:textId="3AD79CA5" w:rsidR="00925B46" w:rsidRPr="009A0B72" w:rsidRDefault="007815C0" w:rsidP="007B74BF">
            <w:pPr>
              <w:pStyle w:val="AralkYok"/>
              <w:jc w:val="both"/>
              <w:rPr>
                <w:rFonts w:ascii="Cambria" w:hAnsi="Cambria"/>
                <w:bCs/>
              </w:rPr>
            </w:pPr>
            <w:r w:rsidRPr="007B74BF">
              <w:rPr>
                <w:rFonts w:ascii="Cambria" w:hAnsi="Cambria"/>
                <w:b/>
              </w:rPr>
              <w:t>MADDE</w:t>
            </w:r>
            <w:r w:rsidR="007B74BF" w:rsidRPr="007B74BF">
              <w:rPr>
                <w:rFonts w:ascii="Cambria" w:hAnsi="Cambria"/>
                <w:b/>
              </w:rPr>
              <w:t xml:space="preserve"> 4- </w:t>
            </w:r>
            <w:r w:rsidRPr="007B74BF">
              <w:rPr>
                <w:rFonts w:ascii="Cambria" w:hAnsi="Cambria"/>
                <w:b/>
              </w:rPr>
              <w:t>(7)</w:t>
            </w:r>
            <w:r w:rsidRPr="007815C0">
              <w:rPr>
                <w:rFonts w:ascii="Cambria" w:hAnsi="Cambria"/>
                <w:bCs/>
              </w:rPr>
              <w:t xml:space="preserve"> Cumhurbaşkanı kararıyla öğretim üyesi dışındaki öğretim elemanı kadroları için belirlenen ilave atama izinlerinin en fazla yüzde yirmisi, Yükseköğretim Kurulu tarafından ülkenin kalkınmasında ve bilim hayatının gelişmesinde öncelikli görülen alanlarda lisansüstü eğitim amacıyla kullandırılmak üzere yükseköğretim kurumlarının araştırma görevlisi kadrolarına tahsis edilir. </w:t>
            </w:r>
            <w:r w:rsidRPr="00152355">
              <w:rPr>
                <w:rFonts w:ascii="Cambria" w:hAnsi="Cambria"/>
                <w:b/>
                <w:strike/>
                <w:color w:val="FF0000"/>
              </w:rPr>
              <w:t>Bunun dışındaki araştırma görevlisi norm kadroları; öğrenci sayısı, araştırma, proje geliştirme gibi faaliyetler dikkate alınarak ilgili birim yönetim kurulunun görüşü üzerine (Danıştay Sekizinci Dairesinin 7/10/2020 tarihli ve E.:2020/3357 sayılı kararı ile yürütmesi durdurulan ibare:</w:t>
            </w:r>
            <w:r w:rsidR="007B74BF" w:rsidRPr="00152355">
              <w:rPr>
                <w:rFonts w:ascii="Cambria" w:hAnsi="Cambria"/>
                <w:b/>
                <w:strike/>
                <w:color w:val="FF0000"/>
              </w:rPr>
              <w:t xml:space="preserve"> </w:t>
            </w:r>
            <w:r w:rsidRPr="00152355">
              <w:rPr>
                <w:rFonts w:ascii="Cambria" w:hAnsi="Cambria"/>
                <w:b/>
                <w:strike/>
                <w:color w:val="FF0000"/>
              </w:rPr>
              <w:t>üniversite yönetim kurulu) tarafından belirlenir</w:t>
            </w:r>
            <w:r w:rsidRPr="00152355">
              <w:rPr>
                <w:rFonts w:ascii="Cambria" w:hAnsi="Cambria"/>
                <w:bCs/>
                <w:strike/>
                <w:color w:val="FF0000"/>
              </w:rPr>
              <w:t>.</w:t>
            </w:r>
          </w:p>
        </w:tc>
        <w:tc>
          <w:tcPr>
            <w:tcW w:w="7280" w:type="dxa"/>
          </w:tcPr>
          <w:p w14:paraId="7256959A" w14:textId="481B0F7A" w:rsidR="00925B46" w:rsidRPr="009A0B72" w:rsidRDefault="007815C0" w:rsidP="007B74BF">
            <w:pPr>
              <w:pStyle w:val="AralkYok"/>
              <w:jc w:val="both"/>
              <w:rPr>
                <w:rFonts w:ascii="Cambria" w:hAnsi="Cambria"/>
                <w:bCs/>
              </w:rPr>
            </w:pPr>
            <w:r w:rsidRPr="007B74BF">
              <w:rPr>
                <w:rFonts w:ascii="Cambria" w:hAnsi="Cambria"/>
                <w:b/>
              </w:rPr>
              <w:t>MADDE</w:t>
            </w:r>
            <w:r w:rsidR="007B74BF" w:rsidRPr="007B74BF">
              <w:rPr>
                <w:rFonts w:ascii="Cambria" w:hAnsi="Cambria"/>
                <w:b/>
              </w:rPr>
              <w:t xml:space="preserve"> 4- </w:t>
            </w:r>
            <w:r w:rsidRPr="007B74BF">
              <w:rPr>
                <w:rFonts w:ascii="Cambria" w:hAnsi="Cambria"/>
                <w:b/>
              </w:rPr>
              <w:t>(7)</w:t>
            </w:r>
            <w:r w:rsidRPr="007815C0">
              <w:rPr>
                <w:rFonts w:ascii="Cambria" w:hAnsi="Cambria"/>
                <w:bCs/>
              </w:rPr>
              <w:t xml:space="preserve"> Cumhurbaşkanı kararıyla öğretim üyesi dışındaki öğretim elemanı kadroları için belirlenen ilave atama izinlerinin en fazla yüzde yirmisi, Yükseköğretim Kurulu tarafından ülkenin kalkınmasında ve bilim hayatının gelişmesinde öncelikli görülen alanlarda lisansüstü eğitim amacıyla kullandırılmak üzere yükseköğretim kurumlarının araştırma görevlisi kadrolarına tahsis edilir.  </w:t>
            </w:r>
            <w:r w:rsidRPr="007B74BF">
              <w:rPr>
                <w:rFonts w:ascii="Cambria" w:hAnsi="Cambria"/>
                <w:b/>
                <w:color w:val="FF0000"/>
              </w:rPr>
              <w:t xml:space="preserve">Bunun dışındaki araştırma görevlisi kadroları, 2 sayılı Genel Kadro ve Usulü Hakkındaki Cumhurbaşkanlığı Kararnamesinin </w:t>
            </w:r>
            <w:proofErr w:type="gramStart"/>
            <w:r w:rsidRPr="007B74BF">
              <w:rPr>
                <w:rFonts w:ascii="Cambria" w:hAnsi="Cambria"/>
                <w:b/>
                <w:color w:val="FF0000"/>
              </w:rPr>
              <w:t xml:space="preserve">6 </w:t>
            </w:r>
            <w:proofErr w:type="spellStart"/>
            <w:r w:rsidRPr="007B74BF">
              <w:rPr>
                <w:rFonts w:ascii="Cambria" w:hAnsi="Cambria"/>
                <w:b/>
                <w:color w:val="FF0000"/>
              </w:rPr>
              <w:t>ncı</w:t>
            </w:r>
            <w:proofErr w:type="spellEnd"/>
            <w:proofErr w:type="gramEnd"/>
            <w:r w:rsidRPr="007B74BF">
              <w:rPr>
                <w:rFonts w:ascii="Cambria" w:hAnsi="Cambria"/>
                <w:b/>
                <w:color w:val="FF0000"/>
              </w:rPr>
              <w:t xml:space="preserve"> maddesinin üçüncü fıkrası hükümleri uyarınca anabilim dallarına tahsis edilir.</w:t>
            </w:r>
          </w:p>
        </w:tc>
      </w:tr>
      <w:tr w:rsidR="00925B46" w:rsidRPr="009A0B72" w14:paraId="4F080484" w14:textId="77777777" w:rsidTr="009A0B72">
        <w:tc>
          <w:tcPr>
            <w:tcW w:w="7280" w:type="dxa"/>
          </w:tcPr>
          <w:p w14:paraId="2DFF71B1" w14:textId="64B8EB6E" w:rsidR="00925B46" w:rsidRPr="007B74BF" w:rsidRDefault="007815C0" w:rsidP="007B74BF">
            <w:pPr>
              <w:pStyle w:val="AralkYok"/>
              <w:jc w:val="both"/>
              <w:rPr>
                <w:rFonts w:ascii="Cambria" w:hAnsi="Cambria"/>
                <w:b/>
                <w:strike/>
              </w:rPr>
            </w:pPr>
            <w:r w:rsidRPr="007B74BF">
              <w:rPr>
                <w:rFonts w:ascii="Cambria" w:hAnsi="Cambria"/>
                <w:b/>
                <w:strike/>
                <w:color w:val="FF0000"/>
              </w:rPr>
              <w:lastRenderedPageBreak/>
              <w:t>(8) (</w:t>
            </w:r>
            <w:proofErr w:type="gramStart"/>
            <w:r w:rsidRPr="007B74BF">
              <w:rPr>
                <w:rFonts w:ascii="Cambria" w:hAnsi="Cambria"/>
                <w:b/>
                <w:strike/>
                <w:color w:val="FF0000"/>
              </w:rPr>
              <w:t>Değişik:RG</w:t>
            </w:r>
            <w:proofErr w:type="gramEnd"/>
            <w:r w:rsidRPr="007B74BF">
              <w:rPr>
                <w:rFonts w:ascii="Cambria" w:hAnsi="Cambria"/>
                <w:b/>
                <w:strike/>
                <w:color w:val="FF0000"/>
              </w:rPr>
              <w:t>-28/4/2020-31112) (Danıştay Sekizinci Dairesinin 7/10/2020 tarihli ve E.:2020/3357 sayılı kararı ile yürütmesi</w:t>
            </w:r>
            <w:r w:rsidR="007B74BF" w:rsidRPr="007B74BF">
              <w:rPr>
                <w:rFonts w:ascii="Cambria" w:hAnsi="Cambria"/>
                <w:b/>
                <w:strike/>
                <w:color w:val="FF0000"/>
              </w:rPr>
              <w:t xml:space="preserve"> </w:t>
            </w:r>
            <w:r w:rsidRPr="007B74BF">
              <w:rPr>
                <w:rFonts w:ascii="Cambria" w:hAnsi="Cambria"/>
                <w:b/>
                <w:strike/>
                <w:color w:val="FF0000"/>
              </w:rPr>
              <w:t>durdurulan fıkra: Yükseköğretim kurumları, bu maddenin ikinci, dördüncü ve beşinci fıkraları çerçevesinde yapacakları norm kadro planlamalarından bir sonraki yıl ilan edilmesi planlanan kadroları üniversite yönetim kurulu kararıyla birlikte her yıl Aralık ayı içinde Yükseköğretim Kuruluna gönderir ve kendi internet sitesinde yayımlar.)</w:t>
            </w:r>
          </w:p>
        </w:tc>
        <w:tc>
          <w:tcPr>
            <w:tcW w:w="7280" w:type="dxa"/>
          </w:tcPr>
          <w:p w14:paraId="2F36920A" w14:textId="77777777" w:rsidR="007B74BF" w:rsidRDefault="007B74BF" w:rsidP="007815C0">
            <w:pPr>
              <w:pStyle w:val="AralkYok"/>
              <w:jc w:val="both"/>
              <w:rPr>
                <w:rFonts w:ascii="Cambria" w:hAnsi="Cambria"/>
                <w:bCs/>
              </w:rPr>
            </w:pPr>
          </w:p>
          <w:p w14:paraId="59DA8E61" w14:textId="77777777" w:rsidR="007B74BF" w:rsidRDefault="007B74BF" w:rsidP="007815C0">
            <w:pPr>
              <w:pStyle w:val="AralkYok"/>
              <w:jc w:val="both"/>
              <w:rPr>
                <w:rFonts w:ascii="Cambria" w:hAnsi="Cambria"/>
                <w:bCs/>
              </w:rPr>
            </w:pPr>
          </w:p>
          <w:p w14:paraId="5EBC9F15" w14:textId="77777777" w:rsidR="007B74BF" w:rsidRDefault="007B74BF" w:rsidP="007815C0">
            <w:pPr>
              <w:pStyle w:val="AralkYok"/>
              <w:jc w:val="both"/>
              <w:rPr>
                <w:rFonts w:ascii="Cambria" w:hAnsi="Cambria"/>
                <w:bCs/>
              </w:rPr>
            </w:pPr>
          </w:p>
          <w:p w14:paraId="15F653BE" w14:textId="77777777" w:rsidR="007B74BF" w:rsidRDefault="007B74BF" w:rsidP="007815C0">
            <w:pPr>
              <w:pStyle w:val="AralkYok"/>
              <w:jc w:val="both"/>
              <w:rPr>
                <w:rFonts w:ascii="Cambria" w:hAnsi="Cambria"/>
                <w:bCs/>
              </w:rPr>
            </w:pPr>
          </w:p>
          <w:p w14:paraId="3BB94E92" w14:textId="052FCDC9" w:rsidR="00925B46" w:rsidRPr="007B74BF" w:rsidRDefault="007B74BF" w:rsidP="007815C0">
            <w:pPr>
              <w:pStyle w:val="AralkYok"/>
              <w:jc w:val="both"/>
              <w:rPr>
                <w:rFonts w:ascii="Cambria" w:hAnsi="Cambria"/>
                <w:b/>
              </w:rPr>
            </w:pPr>
            <w:r w:rsidRPr="007B74BF">
              <w:rPr>
                <w:rFonts w:ascii="Cambria" w:hAnsi="Cambria"/>
                <w:b/>
                <w:color w:val="FF0000"/>
              </w:rPr>
              <w:t>Yürürlükten kaldırıldı</w:t>
            </w:r>
          </w:p>
        </w:tc>
      </w:tr>
      <w:tr w:rsidR="00925B46" w:rsidRPr="009A0B72" w14:paraId="03C8A68B" w14:textId="77777777" w:rsidTr="009A0B72">
        <w:tc>
          <w:tcPr>
            <w:tcW w:w="7280" w:type="dxa"/>
          </w:tcPr>
          <w:p w14:paraId="01A20EC1" w14:textId="1D22C32E" w:rsidR="00925B46" w:rsidRPr="009A0B72" w:rsidRDefault="007815C0" w:rsidP="007B74BF">
            <w:pPr>
              <w:pStyle w:val="AralkYok"/>
              <w:jc w:val="both"/>
              <w:rPr>
                <w:rFonts w:ascii="Cambria" w:hAnsi="Cambria"/>
                <w:bCs/>
              </w:rPr>
            </w:pPr>
            <w:r w:rsidRPr="007B74BF">
              <w:rPr>
                <w:rFonts w:ascii="Cambria" w:hAnsi="Cambria"/>
                <w:b/>
              </w:rPr>
              <w:t>MADDE 5-</w:t>
            </w:r>
            <w:r w:rsidR="007B74BF" w:rsidRPr="007B74BF">
              <w:rPr>
                <w:rFonts w:ascii="Cambria" w:hAnsi="Cambria"/>
                <w:b/>
              </w:rPr>
              <w:t xml:space="preserve"> </w:t>
            </w:r>
            <w:r w:rsidRPr="007B74BF">
              <w:rPr>
                <w:rFonts w:ascii="Cambria" w:hAnsi="Cambria"/>
                <w:b/>
              </w:rPr>
              <w:t>(3)</w:t>
            </w:r>
            <w:r w:rsidRPr="007815C0">
              <w:rPr>
                <w:rFonts w:ascii="Cambria" w:hAnsi="Cambria"/>
                <w:bCs/>
              </w:rPr>
              <w:t xml:space="preserve"> </w:t>
            </w:r>
            <w:r w:rsidRPr="008F562C">
              <w:rPr>
                <w:rFonts w:ascii="Cambria" w:hAnsi="Cambria"/>
                <w:b/>
                <w:strike/>
                <w:color w:val="FF0000"/>
              </w:rPr>
              <w:t>Asgari kadro sayısı dışındaki norm kadrolar, ilgili meslek yüksekokulu, konservatuvar, yüksekokul, fakülte ve enstitü yönetim kurulunun görüşü üzerine üniversite yönetim kurulu kararıyla kullanılabilir.</w:t>
            </w:r>
          </w:p>
        </w:tc>
        <w:tc>
          <w:tcPr>
            <w:tcW w:w="7280" w:type="dxa"/>
          </w:tcPr>
          <w:p w14:paraId="411CAA93" w14:textId="7A7445EB" w:rsidR="00925B46" w:rsidRPr="009A0B72" w:rsidRDefault="008F562C" w:rsidP="007815C0">
            <w:pPr>
              <w:pStyle w:val="AralkYok"/>
              <w:jc w:val="both"/>
              <w:rPr>
                <w:rFonts w:ascii="Cambria" w:hAnsi="Cambria"/>
                <w:bCs/>
              </w:rPr>
            </w:pPr>
            <w:r w:rsidRPr="007B74BF">
              <w:rPr>
                <w:rFonts w:ascii="Cambria" w:hAnsi="Cambria"/>
                <w:b/>
              </w:rPr>
              <w:t>MADDE 5- (3)</w:t>
            </w:r>
            <w:r w:rsidRPr="007815C0">
              <w:rPr>
                <w:rFonts w:ascii="Cambria" w:hAnsi="Cambria"/>
                <w:bCs/>
              </w:rPr>
              <w:t xml:space="preserve"> </w:t>
            </w:r>
            <w:r w:rsidRPr="008F562C">
              <w:rPr>
                <w:rFonts w:ascii="Times New Roman" w:hAnsi="Times New Roman" w:cs="Times New Roman"/>
                <w:b/>
                <w:bCs/>
                <w:color w:val="FF0000"/>
                <w:sz w:val="24"/>
                <w:szCs w:val="24"/>
              </w:rPr>
              <w:t>Asgari kadro sayısı dışındaki norm kadrolar, ilgili birim ve üniversite yönetim kurulunun görüşü alınarak rektör tarafından kullanılabilir</w:t>
            </w:r>
          </w:p>
        </w:tc>
      </w:tr>
      <w:tr w:rsidR="007815C0" w:rsidRPr="009A0B72" w14:paraId="15EE69FF" w14:textId="77777777" w:rsidTr="009A0B72">
        <w:tc>
          <w:tcPr>
            <w:tcW w:w="7280" w:type="dxa"/>
          </w:tcPr>
          <w:p w14:paraId="61AA5CFB" w14:textId="10A7F5A2" w:rsidR="007815C0" w:rsidRPr="007815C0" w:rsidRDefault="007815C0" w:rsidP="007B74BF">
            <w:pPr>
              <w:pStyle w:val="AralkYok"/>
              <w:jc w:val="both"/>
              <w:rPr>
                <w:rFonts w:ascii="Cambria" w:hAnsi="Cambria"/>
                <w:bCs/>
              </w:rPr>
            </w:pPr>
            <w:r w:rsidRPr="007B74BF">
              <w:rPr>
                <w:rFonts w:ascii="Cambria" w:hAnsi="Cambria"/>
                <w:b/>
              </w:rPr>
              <w:t>MADDE 5-</w:t>
            </w:r>
            <w:r w:rsidR="007B74BF" w:rsidRPr="007B74BF">
              <w:rPr>
                <w:rFonts w:ascii="Cambria" w:hAnsi="Cambria"/>
                <w:b/>
              </w:rPr>
              <w:t xml:space="preserve"> </w:t>
            </w:r>
            <w:r w:rsidRPr="007B74BF">
              <w:rPr>
                <w:rFonts w:ascii="Cambria" w:hAnsi="Cambria"/>
                <w:b/>
              </w:rPr>
              <w:t>(4)</w:t>
            </w:r>
            <w:r w:rsidRPr="007815C0">
              <w:rPr>
                <w:rFonts w:ascii="Cambria" w:hAnsi="Cambria"/>
                <w:bCs/>
              </w:rPr>
              <w:t xml:space="preserve"> Öğretim elemanı asgari kadro sayısını aşan bütün atamalarda asgari kadrolar da dahil olmak üzere kadroların en fazla </w:t>
            </w:r>
            <w:r w:rsidRPr="008F562C">
              <w:rPr>
                <w:rFonts w:ascii="Cambria" w:hAnsi="Cambria"/>
                <w:b/>
                <w:strike/>
                <w:color w:val="FF0000"/>
              </w:rPr>
              <w:t>2/3’ü</w:t>
            </w:r>
            <w:r w:rsidRPr="008F562C">
              <w:rPr>
                <w:rFonts w:ascii="Cambria" w:hAnsi="Cambria"/>
                <w:bCs/>
                <w:color w:val="FF0000"/>
              </w:rPr>
              <w:t xml:space="preserve"> </w:t>
            </w:r>
            <w:r w:rsidRPr="007815C0">
              <w:rPr>
                <w:rFonts w:ascii="Cambria" w:hAnsi="Cambria"/>
                <w:bCs/>
              </w:rPr>
              <w:t xml:space="preserve">aynı unvan için kullanılabilir. Bu hesaplamada çıkan sayı küsuratlı ise aşağıya doğru yuvarlama yapılır. </w:t>
            </w:r>
            <w:r w:rsidR="008F562C">
              <w:rPr>
                <w:rFonts w:ascii="Cambria" w:hAnsi="Cambria"/>
                <w:bCs/>
              </w:rPr>
              <w:t>Y</w:t>
            </w:r>
            <w:r w:rsidRPr="007815C0">
              <w:rPr>
                <w:rFonts w:ascii="Cambria" w:hAnsi="Cambria"/>
                <w:bCs/>
              </w:rPr>
              <w:t>ükseköğretim kurumları tarafından yapılan talep üzerine Yükseköğretim Kurulunca öğretim üyesi temininde güçlük çekildiğine karar verilen birimlerdeki doktor öğretim üyesi kadroları ile meslek yüksekokullarında bu şart aranmaz.</w:t>
            </w:r>
          </w:p>
        </w:tc>
        <w:tc>
          <w:tcPr>
            <w:tcW w:w="7280" w:type="dxa"/>
          </w:tcPr>
          <w:p w14:paraId="5FBDF860" w14:textId="007E45AA" w:rsidR="007815C0" w:rsidRPr="009A0B72" w:rsidRDefault="008F562C" w:rsidP="007815C0">
            <w:pPr>
              <w:pStyle w:val="AralkYok"/>
              <w:jc w:val="both"/>
              <w:rPr>
                <w:rFonts w:ascii="Cambria" w:hAnsi="Cambria"/>
                <w:bCs/>
              </w:rPr>
            </w:pPr>
            <w:r w:rsidRPr="007B74BF">
              <w:rPr>
                <w:rFonts w:ascii="Cambria" w:hAnsi="Cambria"/>
                <w:b/>
              </w:rPr>
              <w:t>MADDE 5- (4)</w:t>
            </w:r>
            <w:r w:rsidRPr="007815C0">
              <w:rPr>
                <w:rFonts w:ascii="Cambria" w:hAnsi="Cambria"/>
                <w:bCs/>
              </w:rPr>
              <w:t xml:space="preserve"> </w:t>
            </w:r>
            <w:r w:rsidRPr="004C7E26">
              <w:rPr>
                <w:rFonts w:ascii="Times New Roman" w:hAnsi="Times New Roman" w:cs="Times New Roman"/>
                <w:sz w:val="24"/>
                <w:szCs w:val="24"/>
              </w:rPr>
              <w:t xml:space="preserve">Öğretim elemanı asgari kadro sayısını aşan bütün atamalarda asgari kadrolar da dahil olmak üzere kadroların en fazla </w:t>
            </w:r>
            <w:r w:rsidRPr="008F562C">
              <w:rPr>
                <w:rFonts w:ascii="Times New Roman" w:hAnsi="Times New Roman" w:cs="Times New Roman"/>
                <w:b/>
                <w:bCs/>
                <w:color w:val="FF0000"/>
                <w:sz w:val="24"/>
                <w:szCs w:val="24"/>
              </w:rPr>
              <w:t>3/4’ü</w:t>
            </w:r>
            <w:r w:rsidRPr="008F562C">
              <w:rPr>
                <w:rFonts w:ascii="Times New Roman" w:hAnsi="Times New Roman" w:cs="Times New Roman"/>
                <w:color w:val="FF0000"/>
                <w:sz w:val="24"/>
                <w:szCs w:val="24"/>
              </w:rPr>
              <w:t xml:space="preserve"> </w:t>
            </w:r>
            <w:r w:rsidRPr="004C7E26">
              <w:rPr>
                <w:rFonts w:ascii="Times New Roman" w:hAnsi="Times New Roman" w:cs="Times New Roman"/>
                <w:sz w:val="24"/>
                <w:szCs w:val="24"/>
              </w:rPr>
              <w:t xml:space="preserve">aynı unvan için kullanılabilir. Bu hesaplamada çıkan sayı küsuratlı ise aşağıya doğru yuvarlama yapılır. Yükseköğretim Kurulunca öğretim üyesi temininde güçlük çekildiğine karar verilen birimlerdeki doktor öğretim üyesi kadroları ile </w:t>
            </w:r>
            <w:r w:rsidRPr="008F562C">
              <w:rPr>
                <w:rFonts w:ascii="Times New Roman" w:hAnsi="Times New Roman" w:cs="Times New Roman"/>
                <w:b/>
                <w:bCs/>
                <w:color w:val="FF0000"/>
                <w:sz w:val="24"/>
                <w:szCs w:val="24"/>
              </w:rPr>
              <w:t>araştırma üniversiteleri</w:t>
            </w:r>
            <w:r w:rsidRPr="008F562C">
              <w:rPr>
                <w:rFonts w:ascii="Times New Roman" w:hAnsi="Times New Roman" w:cs="Times New Roman"/>
                <w:color w:val="FF0000"/>
                <w:sz w:val="24"/>
                <w:szCs w:val="24"/>
              </w:rPr>
              <w:t xml:space="preserve"> </w:t>
            </w:r>
            <w:r w:rsidRPr="004C7E26">
              <w:rPr>
                <w:rFonts w:ascii="Times New Roman" w:hAnsi="Times New Roman" w:cs="Times New Roman"/>
                <w:sz w:val="24"/>
                <w:szCs w:val="24"/>
              </w:rPr>
              <w:t>ve meslek yüksekokullarında bu şart aranmaz</w:t>
            </w:r>
          </w:p>
        </w:tc>
      </w:tr>
      <w:tr w:rsidR="007815C0" w:rsidRPr="009A0B72" w14:paraId="7C5169BD" w14:textId="77777777" w:rsidTr="009A0B72">
        <w:tc>
          <w:tcPr>
            <w:tcW w:w="7280" w:type="dxa"/>
          </w:tcPr>
          <w:p w14:paraId="0581D4D7" w14:textId="55212718" w:rsidR="007815C0" w:rsidRPr="007815C0" w:rsidRDefault="007815C0" w:rsidP="000F11F7">
            <w:pPr>
              <w:pStyle w:val="AralkYok"/>
              <w:jc w:val="both"/>
              <w:rPr>
                <w:rFonts w:ascii="Cambria" w:hAnsi="Cambria"/>
                <w:bCs/>
              </w:rPr>
            </w:pPr>
            <w:r w:rsidRPr="000F11F7">
              <w:rPr>
                <w:rFonts w:ascii="Cambria" w:hAnsi="Cambria"/>
                <w:b/>
              </w:rPr>
              <w:t>MADDE 5- (5)</w:t>
            </w:r>
            <w:r w:rsidRPr="007815C0">
              <w:rPr>
                <w:rFonts w:ascii="Cambria" w:hAnsi="Cambria"/>
                <w:bCs/>
              </w:rPr>
              <w:t xml:space="preserve"> 2547 sayılı Kanunun 5 inci maddesinin (ı) bendinde belirtilen zorunlu ortak dersleri vermek ve üniversiteye ait uygulama alanlarında görev yapmak üzere öğrenci sayısı, eğitim ve öğretimin niteliği ile ilişkilendirilmek kaydıyla üniversite yönetim kurulunun </w:t>
            </w:r>
            <w:r w:rsidRPr="000F11F7">
              <w:rPr>
                <w:rFonts w:ascii="Cambria" w:hAnsi="Cambria"/>
                <w:b/>
                <w:strike/>
                <w:color w:val="FF0000"/>
              </w:rPr>
              <w:t>uygun</w:t>
            </w:r>
            <w:r w:rsidRPr="007815C0">
              <w:rPr>
                <w:rFonts w:ascii="Cambria" w:hAnsi="Cambria"/>
                <w:bCs/>
              </w:rPr>
              <w:t xml:space="preserve"> görüşü ve rektörün talebi üzerine Yükseköğretim Kurulunun kararıyla rektörlüğe bağlı birimlerde öğretim görevlisi kadrolarına atama yapılabilir.</w:t>
            </w:r>
          </w:p>
        </w:tc>
        <w:tc>
          <w:tcPr>
            <w:tcW w:w="7280" w:type="dxa"/>
          </w:tcPr>
          <w:p w14:paraId="666ECDC8" w14:textId="73E596BD" w:rsidR="007815C0" w:rsidRDefault="007815C0" w:rsidP="007815C0">
            <w:pPr>
              <w:pStyle w:val="AralkYok"/>
              <w:jc w:val="both"/>
              <w:rPr>
                <w:rFonts w:ascii="Cambria" w:hAnsi="Cambria"/>
                <w:bCs/>
              </w:rPr>
            </w:pPr>
            <w:r w:rsidRPr="000F11F7">
              <w:rPr>
                <w:rFonts w:ascii="Cambria" w:hAnsi="Cambria"/>
                <w:b/>
              </w:rPr>
              <w:t>MADDE 5- (5)</w:t>
            </w:r>
            <w:r w:rsidRPr="007815C0">
              <w:rPr>
                <w:rFonts w:ascii="Cambria" w:hAnsi="Cambria"/>
                <w:bCs/>
              </w:rPr>
              <w:t xml:space="preserve"> 2547 sayılı Kanunun 5 inci maddesinin (ı) bendinde belirtilen zorunlu ortak dersleri vermek ve üniversiteye ait uygulama alanlarında görev yapmak üzere öğrenci sayısı, eğitim ve öğretimin niteliği ile ilişkilendirilmek kaydıyla ün</w:t>
            </w:r>
            <w:r w:rsidR="000F11F7">
              <w:rPr>
                <w:rFonts w:ascii="Cambria" w:hAnsi="Cambria"/>
                <w:bCs/>
              </w:rPr>
              <w:t>i</w:t>
            </w:r>
            <w:r w:rsidRPr="007815C0">
              <w:rPr>
                <w:rFonts w:ascii="Cambria" w:hAnsi="Cambria"/>
                <w:bCs/>
              </w:rPr>
              <w:t>versite yönetim kurulunun görüşü ve rektörün talebi üzerine Yükseköğretim Kurulunun kararıyla rektörlüğe bağlı birimlerde öğretim görevlisi kadrolarına atama yapılabilir.</w:t>
            </w:r>
          </w:p>
          <w:p w14:paraId="053FF5A3" w14:textId="77777777" w:rsidR="000F11F7" w:rsidRDefault="000F11F7" w:rsidP="007815C0">
            <w:pPr>
              <w:pStyle w:val="AralkYok"/>
              <w:jc w:val="both"/>
              <w:rPr>
                <w:rFonts w:ascii="Cambria" w:hAnsi="Cambria"/>
                <w:bCs/>
              </w:rPr>
            </w:pPr>
          </w:p>
          <w:p w14:paraId="60CEE5C4" w14:textId="43D95FE0" w:rsidR="000F11F7" w:rsidRPr="009A0B72" w:rsidRDefault="000F11F7" w:rsidP="007815C0">
            <w:pPr>
              <w:pStyle w:val="AralkYok"/>
              <w:jc w:val="both"/>
              <w:rPr>
                <w:rFonts w:ascii="Cambria" w:hAnsi="Cambria"/>
                <w:bCs/>
              </w:rPr>
            </w:pPr>
          </w:p>
        </w:tc>
      </w:tr>
      <w:tr w:rsidR="007815C0" w:rsidRPr="009A0B72" w14:paraId="55351A13" w14:textId="77777777" w:rsidTr="009A0B72">
        <w:tc>
          <w:tcPr>
            <w:tcW w:w="7280" w:type="dxa"/>
          </w:tcPr>
          <w:p w14:paraId="4CB42429" w14:textId="784B0349" w:rsidR="007815C0" w:rsidRPr="007815C0" w:rsidRDefault="007815C0" w:rsidP="000F11F7">
            <w:pPr>
              <w:pStyle w:val="AralkYok"/>
              <w:jc w:val="both"/>
              <w:rPr>
                <w:rFonts w:ascii="Cambria" w:hAnsi="Cambria"/>
                <w:bCs/>
              </w:rPr>
            </w:pPr>
            <w:r w:rsidRPr="000F11F7">
              <w:rPr>
                <w:rFonts w:ascii="Cambria" w:hAnsi="Cambria"/>
                <w:b/>
              </w:rPr>
              <w:t>MADDE 5</w:t>
            </w:r>
            <w:r w:rsidR="000F11F7" w:rsidRPr="000F11F7">
              <w:rPr>
                <w:rFonts w:ascii="Cambria" w:hAnsi="Cambria"/>
                <w:b/>
              </w:rPr>
              <w:t xml:space="preserve"> -</w:t>
            </w:r>
            <w:r w:rsidRPr="000F11F7">
              <w:rPr>
                <w:rFonts w:ascii="Cambria" w:hAnsi="Cambria"/>
                <w:b/>
              </w:rPr>
              <w:t>(6)</w:t>
            </w:r>
            <w:r w:rsidR="000F11F7">
              <w:rPr>
                <w:rFonts w:ascii="Cambria" w:hAnsi="Cambria"/>
                <w:b/>
              </w:rPr>
              <w:t xml:space="preserve"> </w:t>
            </w:r>
            <w:r w:rsidRPr="007815C0">
              <w:rPr>
                <w:rFonts w:ascii="Cambria" w:hAnsi="Cambria"/>
                <w:bCs/>
              </w:rPr>
              <w:t xml:space="preserve">Cumhurbaşkanı kararıyla her yıl ilgili yükseköğretim kurumu için belirlenen atama izin sayılarının birimlere dağılımı, </w:t>
            </w:r>
            <w:r w:rsidRPr="002D77CB">
              <w:rPr>
                <w:rFonts w:ascii="Cambria" w:hAnsi="Cambria"/>
                <w:b/>
                <w:strike/>
                <w:color w:val="FF0000"/>
              </w:rPr>
              <w:t>ilgili birim yönetim kurulunun gerekçeli teklifi üzerine üniversite yönetim kurulu tarafından yapılır.</w:t>
            </w:r>
          </w:p>
        </w:tc>
        <w:tc>
          <w:tcPr>
            <w:tcW w:w="7280" w:type="dxa"/>
          </w:tcPr>
          <w:p w14:paraId="35DC083F" w14:textId="0EA84758" w:rsidR="007815C0" w:rsidRPr="009A0B72" w:rsidRDefault="007815C0" w:rsidP="000F11F7">
            <w:pPr>
              <w:pStyle w:val="AralkYok"/>
              <w:jc w:val="both"/>
              <w:rPr>
                <w:rFonts w:ascii="Cambria" w:hAnsi="Cambria"/>
                <w:bCs/>
              </w:rPr>
            </w:pPr>
            <w:r w:rsidRPr="000F11F7">
              <w:rPr>
                <w:rFonts w:ascii="Cambria" w:hAnsi="Cambria"/>
                <w:b/>
              </w:rPr>
              <w:t>MADDE 5-</w:t>
            </w:r>
            <w:r w:rsidR="000F11F7" w:rsidRPr="000F11F7">
              <w:rPr>
                <w:rFonts w:ascii="Cambria" w:hAnsi="Cambria"/>
                <w:b/>
              </w:rPr>
              <w:t xml:space="preserve"> </w:t>
            </w:r>
            <w:r w:rsidRPr="000F11F7">
              <w:rPr>
                <w:rFonts w:ascii="Cambria" w:hAnsi="Cambria"/>
                <w:b/>
              </w:rPr>
              <w:t>(6)</w:t>
            </w:r>
            <w:r w:rsidRPr="007815C0">
              <w:rPr>
                <w:rFonts w:ascii="Cambria" w:hAnsi="Cambria"/>
                <w:bCs/>
              </w:rPr>
              <w:t xml:space="preserve"> Cumhurbaşkanı kararıyla her yıl ilgili yükseköğretim kurumu için belirlenen atama izin sayılarının birimlere dağılımı, </w:t>
            </w:r>
            <w:r w:rsidRPr="002D77CB">
              <w:rPr>
                <w:rFonts w:ascii="Cambria" w:hAnsi="Cambria"/>
                <w:b/>
                <w:color w:val="FF0000"/>
              </w:rPr>
              <w:t>ilgili birim ve üniversite yönetim kurulunun görüşü alınarak rektör tarafından yapılır.</w:t>
            </w:r>
            <w:r w:rsidRPr="002D77CB">
              <w:rPr>
                <w:rFonts w:ascii="Cambria" w:hAnsi="Cambria"/>
                <w:bCs/>
                <w:color w:val="FF0000"/>
              </w:rPr>
              <w:t xml:space="preserve"> </w:t>
            </w:r>
            <w:r w:rsidRPr="000F11F7">
              <w:rPr>
                <w:rFonts w:ascii="Cambria" w:hAnsi="Cambria"/>
                <w:b/>
                <w:color w:val="FF0000"/>
              </w:rPr>
              <w:t>Atama izin sayılarının, asgari kadroların kullanımı için birimlere tahsisi, ilgili birim yöneticisinin görüşü alınarak rektör tarafından gerçekleştirilir.</w:t>
            </w:r>
          </w:p>
        </w:tc>
      </w:tr>
      <w:tr w:rsidR="007815C0" w:rsidRPr="009A0B72" w14:paraId="4EBE8C56" w14:textId="77777777" w:rsidTr="009A0B72">
        <w:tc>
          <w:tcPr>
            <w:tcW w:w="7280" w:type="dxa"/>
          </w:tcPr>
          <w:p w14:paraId="22F6C4C0" w14:textId="77777777" w:rsidR="007815C0" w:rsidRPr="007815C0" w:rsidRDefault="007815C0" w:rsidP="007815C0">
            <w:pPr>
              <w:pStyle w:val="AralkYok"/>
              <w:jc w:val="both"/>
              <w:rPr>
                <w:rFonts w:ascii="Cambria" w:hAnsi="Cambria"/>
                <w:b/>
              </w:rPr>
            </w:pPr>
            <w:r w:rsidRPr="007815C0">
              <w:rPr>
                <w:rFonts w:ascii="Cambria" w:hAnsi="Cambria"/>
                <w:b/>
              </w:rPr>
              <w:lastRenderedPageBreak/>
              <w:t>Yönetmelik hükümlerinin uygulanmayacağı hususlar</w:t>
            </w:r>
          </w:p>
          <w:p w14:paraId="6FE6BB3C" w14:textId="77777777" w:rsidR="007815C0" w:rsidRPr="007815C0" w:rsidRDefault="007815C0" w:rsidP="007815C0">
            <w:pPr>
              <w:pStyle w:val="AralkYok"/>
              <w:jc w:val="both"/>
              <w:rPr>
                <w:rFonts w:ascii="Cambria" w:hAnsi="Cambria"/>
                <w:bCs/>
              </w:rPr>
            </w:pPr>
            <w:r w:rsidRPr="007815C0">
              <w:rPr>
                <w:rFonts w:ascii="Cambria" w:hAnsi="Cambria"/>
                <w:b/>
              </w:rPr>
              <w:t xml:space="preserve">MADDE 6 </w:t>
            </w:r>
            <w:proofErr w:type="gramStart"/>
            <w:r w:rsidRPr="007815C0">
              <w:rPr>
                <w:rFonts w:ascii="Cambria" w:hAnsi="Cambria"/>
                <w:b/>
              </w:rPr>
              <w:t>–(</w:t>
            </w:r>
            <w:proofErr w:type="gramEnd"/>
            <w:r w:rsidRPr="007815C0">
              <w:rPr>
                <w:rFonts w:ascii="Cambria" w:hAnsi="Cambria"/>
                <w:b/>
              </w:rPr>
              <w:t>1)</w:t>
            </w:r>
            <w:r w:rsidRPr="007815C0">
              <w:rPr>
                <w:rFonts w:ascii="Cambria" w:hAnsi="Cambria"/>
                <w:bCs/>
              </w:rPr>
              <w:t xml:space="preserve"> Yasal düzenlemeler nedeniyle veya mahkeme kararları uyarınca kadro kullanımı gerektiren atamalarda; 2547 sayılı Kanunun</w:t>
            </w:r>
          </w:p>
          <w:p w14:paraId="01A9E390" w14:textId="0019312E" w:rsidR="007815C0" w:rsidRPr="007815C0" w:rsidRDefault="007815C0" w:rsidP="007815C0">
            <w:pPr>
              <w:pStyle w:val="AralkYok"/>
              <w:jc w:val="both"/>
              <w:rPr>
                <w:rFonts w:ascii="Cambria" w:hAnsi="Cambria"/>
                <w:bCs/>
              </w:rPr>
            </w:pPr>
            <w:r w:rsidRPr="007815C0">
              <w:rPr>
                <w:rFonts w:ascii="Cambria" w:hAnsi="Cambria"/>
                <w:bCs/>
              </w:rPr>
              <w:t xml:space="preserve">60 </w:t>
            </w:r>
            <w:proofErr w:type="spellStart"/>
            <w:r w:rsidRPr="007815C0">
              <w:rPr>
                <w:rFonts w:ascii="Cambria" w:hAnsi="Cambria"/>
                <w:bCs/>
              </w:rPr>
              <w:t>ıncı</w:t>
            </w:r>
            <w:proofErr w:type="spellEnd"/>
            <w:r w:rsidRPr="007815C0">
              <w:rPr>
                <w:rFonts w:ascii="Cambria" w:hAnsi="Cambria"/>
                <w:bCs/>
              </w:rPr>
              <w:t xml:space="preserve"> maddesi uyarınca öğretim üyesi kadrolarına yapılan atamalarda; 2547 sayılı Kanunun 30 uncu ve 36 </w:t>
            </w:r>
            <w:proofErr w:type="spellStart"/>
            <w:r w:rsidRPr="007815C0">
              <w:rPr>
                <w:rFonts w:ascii="Cambria" w:hAnsi="Cambria"/>
                <w:bCs/>
              </w:rPr>
              <w:t>ncı</w:t>
            </w:r>
            <w:proofErr w:type="spellEnd"/>
            <w:r w:rsidRPr="007815C0">
              <w:rPr>
                <w:rFonts w:ascii="Cambria" w:hAnsi="Cambria"/>
                <w:bCs/>
              </w:rPr>
              <w:t xml:space="preserve"> maddelerine göre sözleşmeli statüde çalıştırılacak öğretim üyeleri ile 8/4/1929 tarihli ve 1416 sayılı Ecnebi Memleketlere Gönderilecek Talebe Hakkında Kanun kapsamında öğretim görevlisi kadrosuna ilk defa yapılacak atamalarda; Tıpta ve Diş Hekimliğinde Uzmanlık Eğitimi</w:t>
            </w:r>
            <w:r w:rsidR="000F11F7">
              <w:rPr>
                <w:rFonts w:ascii="Cambria" w:hAnsi="Cambria"/>
                <w:bCs/>
              </w:rPr>
              <w:t xml:space="preserve"> </w:t>
            </w:r>
            <w:r w:rsidRPr="007815C0">
              <w:rPr>
                <w:rFonts w:ascii="Cambria" w:hAnsi="Cambria"/>
                <w:bCs/>
              </w:rPr>
              <w:t>Yönetmeliği, Eczacılıkta Uzmanlık Eğitimi</w:t>
            </w:r>
            <w:r w:rsidR="000F11F7">
              <w:rPr>
                <w:rFonts w:ascii="Cambria" w:hAnsi="Cambria"/>
                <w:bCs/>
              </w:rPr>
              <w:t xml:space="preserve"> </w:t>
            </w:r>
            <w:r w:rsidRPr="007815C0">
              <w:rPr>
                <w:rFonts w:ascii="Cambria" w:hAnsi="Cambria"/>
                <w:bCs/>
              </w:rPr>
              <w:t>Yönetmeliği ve Veteriner Hekimliğinde Uzmanlık Eğitimi Yönetmeliği hükümlerine göre uzmanlık eğitimi almaya hak kazananların araştırma görevlisi kadrolarına atanmalarında; devlet hizmeti yükümlülüğü kurası sonuçlarına göre öğretim görevlisi kadrolarına yapılacak atamalarda; bu Yönetmelik kapsamındaki</w:t>
            </w:r>
          </w:p>
          <w:p w14:paraId="31956E33" w14:textId="6D8BBB0A" w:rsidR="007815C0" w:rsidRPr="007815C0" w:rsidRDefault="007815C0" w:rsidP="007815C0">
            <w:pPr>
              <w:pStyle w:val="AralkYok"/>
              <w:jc w:val="both"/>
              <w:rPr>
                <w:rFonts w:ascii="Cambria" w:hAnsi="Cambria"/>
                <w:bCs/>
              </w:rPr>
            </w:pPr>
            <w:r w:rsidRPr="007815C0">
              <w:rPr>
                <w:rFonts w:ascii="Cambria" w:hAnsi="Cambria"/>
                <w:bCs/>
              </w:rPr>
              <w:t>kadrolarda istihdam edilenlerin görev süresi uzatımı mahiyetindeki atanmalarında ve yabancı uyruklu öğretim elemanlarının sözleşmeli statüsünde çalıştırılmak üzere atanmalarında bu Yönetmelik hükümleri uygulanmaz.</w:t>
            </w:r>
          </w:p>
        </w:tc>
        <w:tc>
          <w:tcPr>
            <w:tcW w:w="7280" w:type="dxa"/>
          </w:tcPr>
          <w:p w14:paraId="51EB5FBB" w14:textId="77777777" w:rsidR="007815C0" w:rsidRPr="007815C0" w:rsidRDefault="007815C0" w:rsidP="007815C0">
            <w:pPr>
              <w:pStyle w:val="AralkYok"/>
              <w:jc w:val="both"/>
              <w:rPr>
                <w:rFonts w:ascii="Cambria" w:hAnsi="Cambria"/>
                <w:b/>
              </w:rPr>
            </w:pPr>
            <w:r w:rsidRPr="007815C0">
              <w:rPr>
                <w:rFonts w:ascii="Cambria" w:hAnsi="Cambria"/>
                <w:b/>
              </w:rPr>
              <w:t>Yönetmelik hükümlerinin uygulanmayacağı hususlar</w:t>
            </w:r>
          </w:p>
          <w:p w14:paraId="4DC46000" w14:textId="77777777" w:rsidR="007815C0" w:rsidRPr="007815C0" w:rsidRDefault="007815C0" w:rsidP="007815C0">
            <w:pPr>
              <w:pStyle w:val="AralkYok"/>
              <w:jc w:val="both"/>
              <w:rPr>
                <w:rFonts w:ascii="Cambria" w:hAnsi="Cambria"/>
                <w:bCs/>
              </w:rPr>
            </w:pPr>
            <w:r w:rsidRPr="007815C0">
              <w:rPr>
                <w:rFonts w:ascii="Cambria" w:hAnsi="Cambria"/>
                <w:b/>
              </w:rPr>
              <w:t xml:space="preserve">MADDE 6 </w:t>
            </w:r>
            <w:proofErr w:type="gramStart"/>
            <w:r w:rsidRPr="007815C0">
              <w:rPr>
                <w:rFonts w:ascii="Cambria" w:hAnsi="Cambria"/>
                <w:b/>
              </w:rPr>
              <w:t>–(</w:t>
            </w:r>
            <w:proofErr w:type="gramEnd"/>
            <w:r w:rsidRPr="007815C0">
              <w:rPr>
                <w:rFonts w:ascii="Cambria" w:hAnsi="Cambria"/>
                <w:b/>
              </w:rPr>
              <w:t>1)</w:t>
            </w:r>
            <w:r w:rsidRPr="007815C0">
              <w:rPr>
                <w:rFonts w:ascii="Cambria" w:hAnsi="Cambria"/>
                <w:bCs/>
              </w:rPr>
              <w:t xml:space="preserve"> Yasal düzenlemeler nedeniyle veya mahkeme kararları uyarınca kadro kullanımı gerektiren atamalarda; 2547 sayılı Kanunun</w:t>
            </w:r>
          </w:p>
          <w:p w14:paraId="4CB17411" w14:textId="01A3BC64" w:rsidR="007815C0" w:rsidRPr="007815C0" w:rsidRDefault="007815C0" w:rsidP="007815C0">
            <w:pPr>
              <w:pStyle w:val="AralkYok"/>
              <w:jc w:val="both"/>
              <w:rPr>
                <w:rFonts w:ascii="Cambria" w:hAnsi="Cambria"/>
                <w:bCs/>
              </w:rPr>
            </w:pPr>
            <w:r w:rsidRPr="007815C0">
              <w:rPr>
                <w:rFonts w:ascii="Cambria" w:hAnsi="Cambria"/>
                <w:bCs/>
              </w:rPr>
              <w:t xml:space="preserve">60 </w:t>
            </w:r>
            <w:proofErr w:type="spellStart"/>
            <w:r w:rsidRPr="007815C0">
              <w:rPr>
                <w:rFonts w:ascii="Cambria" w:hAnsi="Cambria"/>
                <w:bCs/>
              </w:rPr>
              <w:t>ıncı</w:t>
            </w:r>
            <w:proofErr w:type="spellEnd"/>
            <w:r w:rsidRPr="007815C0">
              <w:rPr>
                <w:rFonts w:ascii="Cambria" w:hAnsi="Cambria"/>
                <w:bCs/>
              </w:rPr>
              <w:t xml:space="preserve"> maddesi uyarınca öğretim üyesi kadrolarına yapılan atamalarda; 2547 sayılı Kanunun 30 uncu ve 36 </w:t>
            </w:r>
            <w:proofErr w:type="spellStart"/>
            <w:r w:rsidRPr="007815C0">
              <w:rPr>
                <w:rFonts w:ascii="Cambria" w:hAnsi="Cambria"/>
                <w:bCs/>
              </w:rPr>
              <w:t>ncı</w:t>
            </w:r>
            <w:proofErr w:type="spellEnd"/>
            <w:r w:rsidRPr="007815C0">
              <w:rPr>
                <w:rFonts w:ascii="Cambria" w:hAnsi="Cambria"/>
                <w:bCs/>
              </w:rPr>
              <w:t xml:space="preserve"> maddelerine göre sözleşmeli statüde çalıştırılacak öğretim üyeleri ile 8/4/1929 tarihli ve 1416 sayılı Ecnebi Memleketlere Gönderilecek Talebe Hakkında Kanun kapsamında </w:t>
            </w:r>
            <w:r w:rsidRPr="000F11F7">
              <w:rPr>
                <w:rFonts w:ascii="Cambria" w:hAnsi="Cambria"/>
                <w:b/>
                <w:color w:val="FF0000"/>
              </w:rPr>
              <w:t>doktor öğretim üyesi</w:t>
            </w:r>
            <w:r w:rsidRPr="007815C0">
              <w:rPr>
                <w:rFonts w:ascii="Cambria" w:hAnsi="Cambria"/>
                <w:bCs/>
              </w:rPr>
              <w:t xml:space="preserve"> </w:t>
            </w:r>
            <w:r w:rsidRPr="000F11F7">
              <w:rPr>
                <w:rFonts w:ascii="Cambria" w:hAnsi="Cambria"/>
                <w:b/>
                <w:color w:val="FF0000"/>
              </w:rPr>
              <w:t>veya</w:t>
            </w:r>
            <w:r w:rsidRPr="007815C0">
              <w:rPr>
                <w:rFonts w:ascii="Cambria" w:hAnsi="Cambria"/>
                <w:bCs/>
              </w:rPr>
              <w:t xml:space="preserve"> öğretim görevlisi kadrosuna ilk defa yapılacak atamalarda; Tıpta ve Diş Hekimliğinde Uzmanlık Eğitimi Yönetmeliği, Eczacılıkta Uzmanlık Eğitimi Yönetmeliği ve Veteriner Hekimliğinde Uzmanlık Eğitimi Yönetmeliği hükümlerine göre uzmanlık eğitimi almaya hak kazananların araştırma görevlisi kadrolarına atanmalarında; devlet hizmeti yükümlülüğü kurası sonuçlarına göre öğretim görevlisi kadrolarına yapılacak atamalarda; bu Yönetmelik kapsamındaki kadrolarda istihdam edilenlerin görev süresi uzatımı mahiyetindeki atanmalarında ve yabancı uyruklu öğretim elemanlarının sözleşmeli statüsünde çalıştırılmak üzere atanmalarında bu Yönetmelik hükümleri uygulanmaz.</w:t>
            </w:r>
          </w:p>
        </w:tc>
      </w:tr>
    </w:tbl>
    <w:p w14:paraId="43A9D8F8" w14:textId="77777777" w:rsidR="00BE3E80" w:rsidRDefault="00BE3E80" w:rsidP="007815C0">
      <w:pPr>
        <w:pStyle w:val="AralkYok"/>
        <w:jc w:val="both"/>
        <w:rPr>
          <w:rFonts w:ascii="Cambria" w:hAnsi="Cambria"/>
          <w:b/>
          <w:bCs/>
          <w:color w:val="002060"/>
        </w:rPr>
      </w:pPr>
    </w:p>
    <w:p w14:paraId="65F57DF4" w14:textId="77777777" w:rsidR="00BE3E80" w:rsidRDefault="00BE3E80" w:rsidP="007815C0">
      <w:pPr>
        <w:pStyle w:val="AralkYok"/>
        <w:jc w:val="both"/>
        <w:rPr>
          <w:rFonts w:ascii="Cambria" w:hAnsi="Cambria"/>
          <w:b/>
          <w:bCs/>
          <w:color w:val="002060"/>
        </w:rPr>
      </w:pPr>
    </w:p>
    <w:p w14:paraId="15EDEE02" w14:textId="77777777" w:rsidR="00BE3E80" w:rsidRDefault="00BE3E80" w:rsidP="007815C0">
      <w:pPr>
        <w:pStyle w:val="AralkYok"/>
        <w:jc w:val="both"/>
        <w:rPr>
          <w:rFonts w:ascii="Cambria" w:hAnsi="Cambria"/>
          <w:b/>
          <w:bCs/>
          <w:color w:val="002060"/>
        </w:rPr>
      </w:pPr>
    </w:p>
    <w:p w14:paraId="63D07992" w14:textId="77777777" w:rsidR="00BE3E80" w:rsidRDefault="00BE3E80" w:rsidP="007815C0">
      <w:pPr>
        <w:pStyle w:val="AralkYok"/>
        <w:jc w:val="both"/>
        <w:rPr>
          <w:rFonts w:ascii="Cambria" w:hAnsi="Cambria"/>
          <w:b/>
          <w:bCs/>
          <w:color w:val="002060"/>
        </w:rPr>
      </w:pPr>
    </w:p>
    <w:p w14:paraId="4FD4D4BE" w14:textId="77777777" w:rsidR="00BE3E80" w:rsidRDefault="00BE3E80" w:rsidP="007815C0">
      <w:pPr>
        <w:pStyle w:val="AralkYok"/>
        <w:jc w:val="both"/>
        <w:rPr>
          <w:rFonts w:ascii="Cambria" w:hAnsi="Cambria"/>
          <w:b/>
          <w:bCs/>
          <w:color w:val="002060"/>
        </w:rPr>
      </w:pPr>
    </w:p>
    <w:p w14:paraId="32F25CC8" w14:textId="77777777" w:rsidR="00BE3E80" w:rsidRDefault="00BE3E80" w:rsidP="007815C0">
      <w:pPr>
        <w:pStyle w:val="AralkYok"/>
        <w:jc w:val="both"/>
        <w:rPr>
          <w:rFonts w:ascii="Cambria" w:hAnsi="Cambria"/>
          <w:b/>
          <w:bCs/>
          <w:color w:val="002060"/>
        </w:rPr>
      </w:pPr>
    </w:p>
    <w:p w14:paraId="16DE43BE" w14:textId="77777777" w:rsidR="00BE3E80" w:rsidRDefault="00BE3E80" w:rsidP="007815C0">
      <w:pPr>
        <w:pStyle w:val="AralkYok"/>
        <w:jc w:val="both"/>
        <w:rPr>
          <w:rFonts w:ascii="Cambria" w:hAnsi="Cambria"/>
          <w:b/>
          <w:bCs/>
          <w:color w:val="002060"/>
        </w:rPr>
      </w:pPr>
    </w:p>
    <w:p w14:paraId="67D996C1" w14:textId="77777777" w:rsidR="00BE3E80" w:rsidRDefault="00BE3E80" w:rsidP="007815C0">
      <w:pPr>
        <w:pStyle w:val="AralkYok"/>
        <w:jc w:val="both"/>
        <w:rPr>
          <w:rFonts w:ascii="Cambria" w:hAnsi="Cambria"/>
          <w:b/>
          <w:bCs/>
          <w:color w:val="002060"/>
        </w:rPr>
      </w:pPr>
    </w:p>
    <w:p w14:paraId="217955F0" w14:textId="77777777" w:rsidR="00BE3E80" w:rsidRDefault="00BE3E80" w:rsidP="007815C0">
      <w:pPr>
        <w:pStyle w:val="AralkYok"/>
        <w:jc w:val="both"/>
        <w:rPr>
          <w:rFonts w:ascii="Cambria" w:hAnsi="Cambria"/>
          <w:b/>
          <w:bCs/>
          <w:color w:val="002060"/>
        </w:rPr>
      </w:pPr>
    </w:p>
    <w:p w14:paraId="46E29A46" w14:textId="77777777" w:rsidR="00BE3E80" w:rsidRDefault="00BE3E80" w:rsidP="007815C0">
      <w:pPr>
        <w:pStyle w:val="AralkYok"/>
        <w:jc w:val="both"/>
        <w:rPr>
          <w:rFonts w:ascii="Cambria" w:hAnsi="Cambria"/>
          <w:b/>
          <w:bCs/>
          <w:color w:val="002060"/>
        </w:rPr>
      </w:pPr>
    </w:p>
    <w:p w14:paraId="7E455135" w14:textId="77777777" w:rsidR="00BE3E80" w:rsidRDefault="00BE3E80" w:rsidP="007815C0">
      <w:pPr>
        <w:pStyle w:val="AralkYok"/>
        <w:jc w:val="both"/>
        <w:rPr>
          <w:rFonts w:ascii="Cambria" w:hAnsi="Cambria"/>
          <w:b/>
          <w:bCs/>
          <w:color w:val="002060"/>
        </w:rPr>
      </w:pPr>
    </w:p>
    <w:p w14:paraId="44496008" w14:textId="77777777" w:rsidR="00F478AB" w:rsidRPr="00116355" w:rsidRDefault="00F478AB" w:rsidP="007815C0">
      <w:pPr>
        <w:jc w:val="both"/>
        <w:rPr>
          <w:rFonts w:ascii="Cambria" w:hAnsi="Cambria"/>
        </w:rPr>
      </w:pPr>
    </w:p>
    <w:p w14:paraId="4DF5DD76" w14:textId="77777777" w:rsidR="005B0C52" w:rsidRPr="00116355" w:rsidRDefault="00F478AB" w:rsidP="007815C0">
      <w:pPr>
        <w:tabs>
          <w:tab w:val="left" w:pos="10320"/>
        </w:tabs>
        <w:jc w:val="both"/>
        <w:rPr>
          <w:rFonts w:ascii="Cambria" w:hAnsi="Cambria"/>
        </w:rPr>
      </w:pPr>
      <w:r w:rsidRPr="00116355">
        <w:rPr>
          <w:rFonts w:ascii="Cambria" w:hAnsi="Cambria"/>
        </w:rPr>
        <w:tab/>
      </w:r>
    </w:p>
    <w:sectPr w:rsidR="005B0C52" w:rsidRPr="00116355"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AD6C" w14:textId="77777777" w:rsidR="003B3E96" w:rsidRDefault="003B3E96" w:rsidP="00534F7F">
      <w:pPr>
        <w:spacing w:after="0" w:line="240" w:lineRule="auto"/>
      </w:pPr>
      <w:r>
        <w:separator/>
      </w:r>
    </w:p>
  </w:endnote>
  <w:endnote w:type="continuationSeparator" w:id="0">
    <w:p w14:paraId="2BC24306" w14:textId="77777777" w:rsidR="003B3E96" w:rsidRDefault="003B3E9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58870" w14:textId="77777777" w:rsidR="00D23B84" w:rsidRDefault="00D23B8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4707" w14:textId="77777777" w:rsidR="00534F7F" w:rsidRPr="002B7435" w:rsidRDefault="00534F7F" w:rsidP="00534F7F">
    <w:pPr>
      <w:pStyle w:val="AralkYok"/>
      <w:pBdr>
        <w:top w:val="single" w:sz="4" w:space="1" w:color="BFBFBF" w:themeColor="background1" w:themeShade="BF"/>
      </w:pBdr>
      <w:rPr>
        <w:sz w:val="6"/>
        <w:szCs w:val="6"/>
      </w:rPr>
    </w:pPr>
  </w:p>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5738"/>
      <w:gridCol w:w="2409"/>
      <w:gridCol w:w="284"/>
      <w:gridCol w:w="3827"/>
      <w:gridCol w:w="1418"/>
    </w:tblGrid>
    <w:tr w:rsidR="00F958F7" w:rsidRPr="0081560B" w14:paraId="147D056B" w14:textId="77777777" w:rsidTr="0020508C">
      <w:trPr>
        <w:trHeight w:val="559"/>
      </w:trPr>
      <w:tc>
        <w:tcPr>
          <w:tcW w:w="666" w:type="dxa"/>
        </w:tcPr>
        <w:p w14:paraId="07B5B86E" w14:textId="77777777" w:rsidR="00F958F7" w:rsidRPr="00C4163E" w:rsidRDefault="00F958F7"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6171021D" w14:textId="77777777" w:rsidR="00F958F7" w:rsidRDefault="00F958F7" w:rsidP="00534F7F">
          <w:pPr>
            <w:pStyle w:val="AltBilgi"/>
            <w:rPr>
              <w:rFonts w:ascii="Cambria" w:hAnsi="Cambria"/>
              <w:sz w:val="16"/>
              <w:szCs w:val="16"/>
            </w:rPr>
          </w:pPr>
          <w:r>
            <w:rPr>
              <w:rFonts w:ascii="Cambria" w:hAnsi="Cambria"/>
              <w:sz w:val="16"/>
              <w:szCs w:val="16"/>
            </w:rPr>
            <w:t>:</w:t>
          </w:r>
        </w:p>
      </w:tc>
      <w:tc>
        <w:tcPr>
          <w:tcW w:w="5738" w:type="dxa"/>
        </w:tcPr>
        <w:p w14:paraId="476B0E8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409" w:type="dxa"/>
        </w:tcPr>
        <w:p w14:paraId="7119B592"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0257A265" w14:textId="77777777" w:rsidR="00F958F7" w:rsidRPr="00171789" w:rsidRDefault="00F958F7"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76FDB602" w14:textId="77777777" w:rsidR="00F958F7" w:rsidRPr="0081560B" w:rsidRDefault="00F958F7"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4" w:type="dxa"/>
        </w:tcPr>
        <w:p w14:paraId="7E3C6934"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6E9CF82F"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p w14:paraId="16EA0C80"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w:t>
          </w:r>
        </w:p>
      </w:tc>
      <w:tc>
        <w:tcPr>
          <w:tcW w:w="3827" w:type="dxa"/>
        </w:tcPr>
        <w:p w14:paraId="2BEE53DB" w14:textId="77777777" w:rsidR="00F958F7" w:rsidRPr="0081560B" w:rsidRDefault="00F958F7"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7113CBBA" w14:textId="77777777" w:rsidR="00F958F7" w:rsidRPr="0081560B" w:rsidRDefault="00F958F7"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F7B903D" w14:textId="77777777" w:rsidR="00F958F7" w:rsidRPr="0081560B" w:rsidRDefault="00F958F7"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418" w:type="dxa"/>
        </w:tcPr>
        <w:p w14:paraId="62593CC4" w14:textId="77777777" w:rsidR="00F958F7" w:rsidRPr="0081560B" w:rsidRDefault="00F958F7"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014DDB">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1B45A806" w14:textId="77777777" w:rsidR="00534F7F" w:rsidRDefault="00534F7F">
    <w:pPr>
      <w:pStyle w:val="AltBilgi"/>
      <w:rPr>
        <w:sz w:val="6"/>
        <w:szCs w:val="6"/>
      </w:rPr>
    </w:pPr>
  </w:p>
  <w:p w14:paraId="5A4BB2F6" w14:textId="77777777" w:rsidR="00EB72A7" w:rsidRPr="00900183" w:rsidRDefault="00EB72A7">
    <w:pPr>
      <w:pStyle w:val="AltBilgi"/>
      <w:rPr>
        <w:sz w:val="6"/>
        <w:szCs w:val="6"/>
      </w:rPr>
    </w:pPr>
    <w:r w:rsidRPr="00D07159">
      <w:rPr>
        <w:rFonts w:ascii="Cambria" w:hAnsi="Cambria"/>
        <w:i/>
        <w:sz w:val="16"/>
        <w:szCs w:val="16"/>
      </w:rPr>
      <w:t>(Form No: FRM-000</w:t>
    </w:r>
    <w:r>
      <w:rPr>
        <w:rFonts w:ascii="Cambria" w:hAnsi="Cambria"/>
        <w:i/>
        <w:sz w:val="16"/>
        <w:szCs w:val="16"/>
      </w:rPr>
      <w:t>3</w:t>
    </w:r>
    <w:r w:rsidRPr="00D07159">
      <w:rPr>
        <w:rFonts w:ascii="Cambria" w:hAnsi="Cambria"/>
        <w:i/>
        <w:sz w:val="16"/>
        <w:szCs w:val="16"/>
      </w:rPr>
      <w:t>, Revizyon Tarihi: -, Revizyon No: 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372C" w14:textId="77777777" w:rsidR="00D23B84" w:rsidRDefault="00D23B8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7126" w14:textId="77777777" w:rsidR="003B3E96" w:rsidRDefault="003B3E96" w:rsidP="00534F7F">
      <w:pPr>
        <w:spacing w:after="0" w:line="240" w:lineRule="auto"/>
      </w:pPr>
      <w:r>
        <w:separator/>
      </w:r>
    </w:p>
  </w:footnote>
  <w:footnote w:type="continuationSeparator" w:id="0">
    <w:p w14:paraId="4DE2BA4D" w14:textId="77777777" w:rsidR="003B3E96" w:rsidRDefault="003B3E96"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251B" w14:textId="77777777" w:rsidR="00D23B84" w:rsidRDefault="00D23B8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14:paraId="02325CB5" w14:textId="77777777" w:rsidTr="00D04D2D">
      <w:trPr>
        <w:trHeight w:val="189"/>
      </w:trPr>
      <w:tc>
        <w:tcPr>
          <w:tcW w:w="2547" w:type="dxa"/>
          <w:vMerge w:val="restart"/>
        </w:tcPr>
        <w:p w14:paraId="7467612E"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1378A1A1" wp14:editId="15DD61C0">
                <wp:extent cx="1611685" cy="526694"/>
                <wp:effectExtent l="0" t="0" r="7620" b="6985"/>
                <wp:docPr id="1" name="Resim 1"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9502" w:type="dxa"/>
          <w:vMerge w:val="restart"/>
          <w:tcBorders>
            <w:right w:val="single" w:sz="4" w:space="0" w:color="BFBFBF" w:themeColor="background1" w:themeShade="BF"/>
          </w:tcBorders>
          <w:vAlign w:val="center"/>
        </w:tcPr>
        <w:p w14:paraId="3D080956" w14:textId="77777777" w:rsidR="00534F7F" w:rsidRPr="0092378E" w:rsidRDefault="009A0B72" w:rsidP="00437CF7">
          <w:pPr>
            <w:pStyle w:val="stBilgi"/>
            <w:jc w:val="center"/>
            <w:rPr>
              <w:rFonts w:ascii="Cambria" w:hAnsi="Cambria"/>
              <w:b/>
            </w:rPr>
          </w:pPr>
          <w:r>
            <w:rPr>
              <w:rFonts w:ascii="Cambria" w:hAnsi="Cambria"/>
              <w:b/>
              <w:color w:val="002060"/>
            </w:rPr>
            <w:t>KARŞILAŞTIRMA CETVELİ FORMU</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85B0A2C"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7A22355" w14:textId="77777777" w:rsidR="00534F7F" w:rsidRPr="00171789" w:rsidRDefault="00534F7F" w:rsidP="00D23B84">
          <w:pPr>
            <w:pStyle w:val="stBilgi"/>
            <w:rPr>
              <w:rFonts w:ascii="Cambria" w:hAnsi="Cambria"/>
              <w:color w:val="002060"/>
              <w:sz w:val="16"/>
              <w:szCs w:val="16"/>
            </w:rPr>
          </w:pPr>
          <w:r>
            <w:rPr>
              <w:rFonts w:ascii="Cambria" w:hAnsi="Cambria"/>
              <w:color w:val="002060"/>
              <w:sz w:val="16"/>
              <w:szCs w:val="16"/>
            </w:rPr>
            <w:t>FRM</w:t>
          </w:r>
          <w:r w:rsidRPr="00171789">
            <w:rPr>
              <w:rFonts w:ascii="Cambria" w:hAnsi="Cambria"/>
              <w:color w:val="002060"/>
              <w:sz w:val="16"/>
              <w:szCs w:val="16"/>
            </w:rPr>
            <w:t>-</w:t>
          </w:r>
          <w:r w:rsidR="00EB72A7">
            <w:rPr>
              <w:rFonts w:ascii="Cambria" w:hAnsi="Cambria"/>
              <w:color w:val="002060"/>
              <w:sz w:val="16"/>
              <w:szCs w:val="16"/>
            </w:rPr>
            <w:t>0</w:t>
          </w:r>
          <w:r w:rsidR="00D23B84">
            <w:rPr>
              <w:rFonts w:ascii="Cambria" w:hAnsi="Cambria"/>
              <w:color w:val="002060"/>
              <w:sz w:val="16"/>
              <w:szCs w:val="16"/>
            </w:rPr>
            <w:t>376</w:t>
          </w:r>
        </w:p>
      </w:tc>
    </w:tr>
    <w:tr w:rsidR="00534F7F" w14:paraId="30692A04" w14:textId="77777777" w:rsidTr="00D04D2D">
      <w:trPr>
        <w:trHeight w:val="187"/>
      </w:trPr>
      <w:tc>
        <w:tcPr>
          <w:tcW w:w="2547" w:type="dxa"/>
          <w:vMerge/>
        </w:tcPr>
        <w:p w14:paraId="611B43A6"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6DFF247A"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0273FBF"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CC58417" w14:textId="77777777" w:rsidR="00D23B84" w:rsidRPr="00171789" w:rsidRDefault="00D23B84" w:rsidP="00D23B84">
          <w:pPr>
            <w:pStyle w:val="stBilgi"/>
            <w:rPr>
              <w:rFonts w:ascii="Cambria" w:hAnsi="Cambria"/>
              <w:color w:val="002060"/>
              <w:sz w:val="16"/>
              <w:szCs w:val="16"/>
            </w:rPr>
          </w:pPr>
          <w:r>
            <w:rPr>
              <w:rFonts w:ascii="Cambria" w:hAnsi="Cambria"/>
              <w:color w:val="002060"/>
              <w:sz w:val="16"/>
              <w:szCs w:val="16"/>
            </w:rPr>
            <w:t>15.04.2020</w:t>
          </w:r>
        </w:p>
      </w:tc>
    </w:tr>
    <w:tr w:rsidR="00534F7F" w14:paraId="17AFBF11" w14:textId="77777777" w:rsidTr="00D04D2D">
      <w:trPr>
        <w:trHeight w:val="187"/>
      </w:trPr>
      <w:tc>
        <w:tcPr>
          <w:tcW w:w="2547" w:type="dxa"/>
          <w:vMerge/>
        </w:tcPr>
        <w:p w14:paraId="4D7DB61E"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6AC06E7E"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35BD08E"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45CD04C"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70756E6E" w14:textId="77777777" w:rsidTr="00D04D2D">
      <w:trPr>
        <w:trHeight w:val="220"/>
      </w:trPr>
      <w:tc>
        <w:tcPr>
          <w:tcW w:w="2547" w:type="dxa"/>
          <w:vMerge/>
        </w:tcPr>
        <w:p w14:paraId="4C419F48" w14:textId="77777777"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14:paraId="0C88582A" w14:textId="77777777"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5AAEFEA" w14:textId="77777777" w:rsidR="00534F7F" w:rsidRPr="0092378E" w:rsidRDefault="00534F7F" w:rsidP="00534F7F">
          <w:pPr>
            <w:pStyle w:val="stBilgi"/>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9C2C7BC"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641A6AD2" w14:textId="77777777" w:rsidR="00F958F7" w:rsidRPr="00D04D2D" w:rsidRDefault="00F958F7">
    <w:pPr>
      <w:pStyle w:val="stBilgi"/>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0E85" w14:textId="77777777" w:rsidR="00D23B84" w:rsidRDefault="00D23B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4DDB"/>
    <w:rsid w:val="000B5CD3"/>
    <w:rsid w:val="000F11F7"/>
    <w:rsid w:val="00116355"/>
    <w:rsid w:val="001368C2"/>
    <w:rsid w:val="00152355"/>
    <w:rsid w:val="0015666B"/>
    <w:rsid w:val="00164950"/>
    <w:rsid w:val="001A5E8C"/>
    <w:rsid w:val="001F16FF"/>
    <w:rsid w:val="0020508C"/>
    <w:rsid w:val="002212AD"/>
    <w:rsid w:val="002513C6"/>
    <w:rsid w:val="00271BDB"/>
    <w:rsid w:val="00275E16"/>
    <w:rsid w:val="002D77CB"/>
    <w:rsid w:val="002F0FD6"/>
    <w:rsid w:val="00322432"/>
    <w:rsid w:val="003230A8"/>
    <w:rsid w:val="003B3E96"/>
    <w:rsid w:val="003C0F72"/>
    <w:rsid w:val="003D72D5"/>
    <w:rsid w:val="00406E3A"/>
    <w:rsid w:val="004232E9"/>
    <w:rsid w:val="00437CF7"/>
    <w:rsid w:val="004B24B6"/>
    <w:rsid w:val="00534F7F"/>
    <w:rsid w:val="00561AEB"/>
    <w:rsid w:val="00587671"/>
    <w:rsid w:val="005B0C52"/>
    <w:rsid w:val="005B25C0"/>
    <w:rsid w:val="006319F6"/>
    <w:rsid w:val="00634E90"/>
    <w:rsid w:val="0064705C"/>
    <w:rsid w:val="007815C0"/>
    <w:rsid w:val="007B74BF"/>
    <w:rsid w:val="00846AD8"/>
    <w:rsid w:val="008B1B67"/>
    <w:rsid w:val="008F562C"/>
    <w:rsid w:val="00900183"/>
    <w:rsid w:val="00925B46"/>
    <w:rsid w:val="009A0B72"/>
    <w:rsid w:val="00A5214F"/>
    <w:rsid w:val="00A73681"/>
    <w:rsid w:val="00B51ACD"/>
    <w:rsid w:val="00BE3E80"/>
    <w:rsid w:val="00CC3E17"/>
    <w:rsid w:val="00CF5DBC"/>
    <w:rsid w:val="00D00CA5"/>
    <w:rsid w:val="00D04D2D"/>
    <w:rsid w:val="00D23B84"/>
    <w:rsid w:val="00E63D92"/>
    <w:rsid w:val="00E80AFC"/>
    <w:rsid w:val="00EB72A7"/>
    <w:rsid w:val="00F402FA"/>
    <w:rsid w:val="00F43016"/>
    <w:rsid w:val="00F478AB"/>
    <w:rsid w:val="00F66833"/>
    <w:rsid w:val="00F958F7"/>
    <w:rsid w:val="00FB77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2151"/>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F402FA"/>
    <w:rPr>
      <w:color w:val="0563C1" w:themeColor="hyperlink"/>
      <w:u w:val="single"/>
    </w:rPr>
  </w:style>
  <w:style w:type="character" w:styleId="zmlenmeyenBahsetme">
    <w:name w:val="Unresolved Mention"/>
    <w:basedOn w:val="VarsaylanParagrafYazTipi"/>
    <w:uiPriority w:val="99"/>
    <w:semiHidden/>
    <w:unhideWhenUsed/>
    <w:rsid w:val="00F40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gov.tr/mevzuat?MevzuatNo=27923&amp;MevzuatTur=7&amp;MevzuatTertip=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2031</Words>
  <Characters>11583</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Turgay Delialioğlu</cp:lastModifiedBy>
  <cp:revision>51</cp:revision>
  <cp:lastPrinted>2022-03-02T22:08:00Z</cp:lastPrinted>
  <dcterms:created xsi:type="dcterms:W3CDTF">2019-02-15T12:25:00Z</dcterms:created>
  <dcterms:modified xsi:type="dcterms:W3CDTF">2022-03-02T22:08:00Z</dcterms:modified>
</cp:coreProperties>
</file>