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rsidRPr="00D539CB" w14:paraId="4AC7356E" w14:textId="77777777" w:rsidTr="006319F6">
        <w:tc>
          <w:tcPr>
            <w:tcW w:w="2508" w:type="dxa"/>
            <w:vMerge w:val="restart"/>
            <w:shd w:val="clear" w:color="auto" w:fill="F2F2F2" w:themeFill="background1" w:themeFillShade="F2"/>
            <w:vAlign w:val="center"/>
          </w:tcPr>
          <w:p w14:paraId="03B7FB56" w14:textId="77777777" w:rsidR="006319F6" w:rsidRPr="00D539CB" w:rsidRDefault="006319F6" w:rsidP="006319F6">
            <w:pPr>
              <w:pStyle w:val="AralkYok"/>
              <w:jc w:val="right"/>
              <w:rPr>
                <w:rFonts w:ascii="Cambria" w:hAnsi="Cambria"/>
                <w:b/>
                <w:bCs/>
                <w:color w:val="002060"/>
              </w:rPr>
            </w:pPr>
            <w:r w:rsidRPr="00D539CB">
              <w:rPr>
                <w:rFonts w:ascii="Cambria" w:hAnsi="Cambria"/>
                <w:b/>
                <w:bCs/>
                <w:color w:val="002060"/>
              </w:rPr>
              <w:t>Doküman Türü</w:t>
            </w:r>
          </w:p>
        </w:tc>
        <w:sdt>
          <w:sdtPr>
            <w:rPr>
              <w:rFonts w:ascii="Cambria" w:hAnsi="Cambria"/>
              <w:b/>
              <w:bCs/>
            </w:rPr>
            <w:id w:val="-1119378844"/>
            <w14:checkbox>
              <w14:checked w14:val="0"/>
              <w14:checkedState w14:val="2612" w14:font="MS Gothic"/>
              <w14:uncheckedState w14:val="2610" w14:font="MS Gothic"/>
            </w14:checkbox>
          </w:sdtPr>
          <w:sdtContent>
            <w:tc>
              <w:tcPr>
                <w:tcW w:w="457" w:type="dxa"/>
                <w:tcBorders>
                  <w:bottom w:val="nil"/>
                  <w:right w:val="nil"/>
                </w:tcBorders>
                <w:vAlign w:val="center"/>
              </w:tcPr>
              <w:p w14:paraId="4431D767" w14:textId="77777777" w:rsidR="006319F6" w:rsidRPr="00D539CB" w:rsidRDefault="006319F6" w:rsidP="006319F6">
                <w:pPr>
                  <w:pStyle w:val="AralkYok"/>
                  <w:rPr>
                    <w:rFonts w:ascii="Cambria" w:hAnsi="Cambria"/>
                    <w:b/>
                    <w:bCs/>
                  </w:rPr>
                </w:pPr>
                <w:r w:rsidRPr="00D539CB">
                  <w:rPr>
                    <w:rFonts w:ascii="Segoe UI Symbol" w:eastAsia="MS Gothic" w:hAnsi="Segoe UI Symbol" w:cs="Segoe UI Symbol"/>
                    <w:b/>
                    <w:bCs/>
                  </w:rPr>
                  <w:t>☐</w:t>
                </w:r>
              </w:p>
            </w:tc>
          </w:sdtContent>
        </w:sdt>
        <w:tc>
          <w:tcPr>
            <w:tcW w:w="2532" w:type="dxa"/>
            <w:tcBorders>
              <w:left w:val="nil"/>
              <w:bottom w:val="nil"/>
              <w:right w:val="nil"/>
            </w:tcBorders>
            <w:vAlign w:val="center"/>
          </w:tcPr>
          <w:p w14:paraId="472156FF" w14:textId="77777777" w:rsidR="006319F6" w:rsidRPr="00D539CB" w:rsidRDefault="006319F6" w:rsidP="006319F6">
            <w:pPr>
              <w:pStyle w:val="AralkYok"/>
              <w:rPr>
                <w:rFonts w:ascii="Cambria" w:hAnsi="Cambria"/>
                <w:b/>
                <w:bCs/>
              </w:rPr>
            </w:pPr>
            <w:r w:rsidRPr="00D539CB">
              <w:rPr>
                <w:rFonts w:ascii="Cambria" w:hAnsi="Cambria"/>
                <w:b/>
                <w:bCs/>
              </w:rPr>
              <w:t>Kanun</w:t>
            </w:r>
          </w:p>
        </w:tc>
        <w:sdt>
          <w:sdtPr>
            <w:rPr>
              <w:rFonts w:ascii="Cambria" w:hAnsi="Cambria"/>
              <w:b/>
              <w:bCs/>
            </w:rPr>
            <w:id w:val="870265277"/>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6513408A" w14:textId="77777777" w:rsidR="006319F6" w:rsidRPr="00D539CB" w:rsidRDefault="006319F6" w:rsidP="006319F6">
                <w:pPr>
                  <w:pStyle w:val="AralkYok"/>
                  <w:rPr>
                    <w:rFonts w:ascii="Cambria" w:hAnsi="Cambria"/>
                    <w:b/>
                    <w:bCs/>
                  </w:rPr>
                </w:pPr>
                <w:r w:rsidRPr="00D539CB">
                  <w:rPr>
                    <w:rFonts w:ascii="Segoe UI Symbol" w:eastAsia="MS Gothic" w:hAnsi="Segoe UI Symbol" w:cs="Segoe UI Symbol"/>
                    <w:b/>
                    <w:bCs/>
                  </w:rPr>
                  <w:t>☐</w:t>
                </w:r>
              </w:p>
            </w:tc>
          </w:sdtContent>
        </w:sdt>
        <w:tc>
          <w:tcPr>
            <w:tcW w:w="2519" w:type="dxa"/>
            <w:tcBorders>
              <w:left w:val="nil"/>
              <w:bottom w:val="nil"/>
              <w:right w:val="nil"/>
            </w:tcBorders>
            <w:vAlign w:val="center"/>
          </w:tcPr>
          <w:p w14:paraId="2E9FC80C" w14:textId="77777777" w:rsidR="006319F6" w:rsidRPr="00D539CB" w:rsidRDefault="006319F6" w:rsidP="006319F6">
            <w:pPr>
              <w:pStyle w:val="AralkYok"/>
              <w:rPr>
                <w:rFonts w:ascii="Cambria" w:hAnsi="Cambria"/>
                <w:b/>
                <w:bCs/>
              </w:rPr>
            </w:pPr>
            <w:r w:rsidRPr="00D539CB">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42CA4D00" w14:textId="77777777" w:rsidR="006319F6" w:rsidRPr="00D539CB" w:rsidRDefault="006319F6" w:rsidP="006319F6">
                <w:pPr>
                  <w:pStyle w:val="AralkYok"/>
                  <w:rPr>
                    <w:rFonts w:ascii="Cambria" w:hAnsi="Cambria"/>
                    <w:b/>
                    <w:bCs/>
                  </w:rPr>
                </w:pPr>
                <w:r w:rsidRPr="00D539CB">
                  <w:rPr>
                    <w:rFonts w:ascii="Segoe UI Symbol" w:eastAsia="MS Gothic" w:hAnsi="Segoe UI Symbol" w:cs="Segoe UI Symbol"/>
                    <w:b/>
                    <w:bCs/>
                  </w:rPr>
                  <w:t>☐</w:t>
                </w:r>
              </w:p>
            </w:tc>
          </w:sdtContent>
        </w:sdt>
        <w:tc>
          <w:tcPr>
            <w:tcW w:w="2584" w:type="dxa"/>
            <w:tcBorders>
              <w:left w:val="nil"/>
              <w:bottom w:val="nil"/>
              <w:right w:val="nil"/>
            </w:tcBorders>
            <w:vAlign w:val="center"/>
          </w:tcPr>
          <w:p w14:paraId="65F8CE44" w14:textId="77777777" w:rsidR="006319F6" w:rsidRPr="00D539CB" w:rsidRDefault="006319F6" w:rsidP="006319F6">
            <w:pPr>
              <w:pStyle w:val="AralkYok"/>
              <w:rPr>
                <w:rFonts w:ascii="Cambria" w:hAnsi="Cambria"/>
                <w:b/>
                <w:bCs/>
              </w:rPr>
            </w:pPr>
            <w:r w:rsidRPr="00D539CB">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Content>
            <w:tc>
              <w:tcPr>
                <w:tcW w:w="437" w:type="dxa"/>
                <w:tcBorders>
                  <w:left w:val="nil"/>
                  <w:bottom w:val="nil"/>
                  <w:right w:val="nil"/>
                </w:tcBorders>
                <w:vAlign w:val="center"/>
              </w:tcPr>
              <w:p w14:paraId="150DFBAB" w14:textId="77777777" w:rsidR="006319F6" w:rsidRPr="00D539CB" w:rsidRDefault="006319F6" w:rsidP="006319F6">
                <w:pPr>
                  <w:pStyle w:val="AralkYok"/>
                  <w:rPr>
                    <w:rFonts w:ascii="Cambria" w:hAnsi="Cambria"/>
                    <w:b/>
                    <w:bCs/>
                  </w:rPr>
                </w:pPr>
                <w:r w:rsidRPr="00D539CB">
                  <w:rPr>
                    <w:rFonts w:ascii="Segoe UI Symbol" w:eastAsia="MS Gothic" w:hAnsi="Segoe UI Symbol" w:cs="Segoe UI Symbol"/>
                    <w:b/>
                    <w:bCs/>
                  </w:rPr>
                  <w:t>☐</w:t>
                </w:r>
              </w:p>
            </w:tc>
          </w:sdtContent>
        </w:sdt>
        <w:tc>
          <w:tcPr>
            <w:tcW w:w="2649" w:type="dxa"/>
            <w:tcBorders>
              <w:left w:val="nil"/>
              <w:bottom w:val="nil"/>
            </w:tcBorders>
            <w:vAlign w:val="center"/>
          </w:tcPr>
          <w:p w14:paraId="547C975A" w14:textId="77777777" w:rsidR="006319F6" w:rsidRPr="00D539CB" w:rsidRDefault="006319F6" w:rsidP="006319F6">
            <w:pPr>
              <w:pStyle w:val="AralkYok"/>
              <w:rPr>
                <w:rFonts w:ascii="Cambria" w:hAnsi="Cambria"/>
                <w:b/>
                <w:bCs/>
              </w:rPr>
            </w:pPr>
            <w:r w:rsidRPr="00D539CB">
              <w:rPr>
                <w:rFonts w:ascii="Cambria" w:hAnsi="Cambria"/>
                <w:b/>
                <w:bCs/>
              </w:rPr>
              <w:t>Tebliğ</w:t>
            </w:r>
          </w:p>
        </w:tc>
      </w:tr>
      <w:tr w:rsidR="006319F6" w:rsidRPr="00D539CB" w14:paraId="78636A15" w14:textId="77777777" w:rsidTr="006319F6">
        <w:tc>
          <w:tcPr>
            <w:tcW w:w="2508" w:type="dxa"/>
            <w:vMerge/>
            <w:shd w:val="clear" w:color="auto" w:fill="F2F2F2" w:themeFill="background1" w:themeFillShade="F2"/>
            <w:vAlign w:val="center"/>
          </w:tcPr>
          <w:p w14:paraId="57599FB7" w14:textId="77777777" w:rsidR="006319F6" w:rsidRPr="00D539CB" w:rsidRDefault="006319F6" w:rsidP="004232E9">
            <w:pPr>
              <w:pStyle w:val="AralkYok"/>
              <w:jc w:val="right"/>
              <w:rPr>
                <w:rFonts w:ascii="Cambria" w:hAnsi="Cambria"/>
                <w:b/>
                <w:bCs/>
                <w:color w:val="002060"/>
              </w:rPr>
            </w:pPr>
          </w:p>
        </w:tc>
        <w:sdt>
          <w:sdtPr>
            <w:rPr>
              <w:rFonts w:ascii="Cambria" w:hAnsi="Cambria"/>
              <w:b/>
              <w:bCs/>
            </w:rPr>
            <w:id w:val="-1395648614"/>
            <w14:checkbox>
              <w14:checked w14:val="1"/>
              <w14:checkedState w14:val="2612" w14:font="MS Gothic"/>
              <w14:uncheckedState w14:val="2610" w14:font="MS Gothic"/>
            </w14:checkbox>
          </w:sdtPr>
          <w:sdtContent>
            <w:tc>
              <w:tcPr>
                <w:tcW w:w="457" w:type="dxa"/>
                <w:tcBorders>
                  <w:top w:val="nil"/>
                  <w:right w:val="nil"/>
                </w:tcBorders>
                <w:vAlign w:val="center"/>
              </w:tcPr>
              <w:p w14:paraId="245118C2" w14:textId="77777777" w:rsidR="006319F6" w:rsidRPr="00D539CB" w:rsidRDefault="00D539CB" w:rsidP="005B0C52">
                <w:pPr>
                  <w:pStyle w:val="AralkYok"/>
                  <w:rPr>
                    <w:rFonts w:ascii="Cambria" w:hAnsi="Cambria"/>
                    <w:b/>
                    <w:bCs/>
                  </w:rPr>
                </w:pPr>
                <w:r w:rsidRPr="00D539CB">
                  <w:rPr>
                    <w:rFonts w:ascii="Segoe UI Symbol" w:eastAsia="MS Gothic" w:hAnsi="Segoe UI Symbol" w:cs="Segoe UI Symbol"/>
                    <w:b/>
                    <w:bCs/>
                  </w:rPr>
                  <w:t>☒</w:t>
                </w:r>
              </w:p>
            </w:tc>
          </w:sdtContent>
        </w:sdt>
        <w:tc>
          <w:tcPr>
            <w:tcW w:w="2532" w:type="dxa"/>
            <w:tcBorders>
              <w:top w:val="nil"/>
              <w:left w:val="nil"/>
              <w:right w:val="nil"/>
            </w:tcBorders>
            <w:vAlign w:val="center"/>
          </w:tcPr>
          <w:p w14:paraId="562F85D2" w14:textId="77777777" w:rsidR="006319F6" w:rsidRPr="00D539CB" w:rsidRDefault="006319F6" w:rsidP="005B0C52">
            <w:pPr>
              <w:pStyle w:val="AralkYok"/>
              <w:rPr>
                <w:rFonts w:ascii="Cambria" w:hAnsi="Cambria"/>
                <w:b/>
                <w:bCs/>
              </w:rPr>
            </w:pPr>
            <w:r w:rsidRPr="00D539CB">
              <w:rPr>
                <w:rFonts w:ascii="Cambria" w:hAnsi="Cambria"/>
                <w:b/>
                <w:bCs/>
              </w:rPr>
              <w:t>Yönetmelik</w:t>
            </w:r>
          </w:p>
        </w:tc>
        <w:sdt>
          <w:sdtPr>
            <w:rPr>
              <w:rFonts w:ascii="Cambria" w:hAnsi="Cambria"/>
              <w:b/>
              <w:bCs/>
            </w:rPr>
            <w:id w:val="-1240561184"/>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782D9DBB" w14:textId="77777777" w:rsidR="006319F6" w:rsidRPr="00D539CB" w:rsidRDefault="006319F6" w:rsidP="005B0C52">
                <w:pPr>
                  <w:pStyle w:val="AralkYok"/>
                  <w:rPr>
                    <w:rFonts w:ascii="Cambria" w:hAnsi="Cambria"/>
                    <w:b/>
                    <w:bCs/>
                  </w:rPr>
                </w:pPr>
                <w:r w:rsidRPr="00D539CB">
                  <w:rPr>
                    <w:rFonts w:ascii="Segoe UI Symbol" w:eastAsia="MS Gothic" w:hAnsi="Segoe UI Symbol" w:cs="Segoe UI Symbol"/>
                    <w:b/>
                    <w:bCs/>
                  </w:rPr>
                  <w:t>☐</w:t>
                </w:r>
              </w:p>
            </w:tc>
          </w:sdtContent>
        </w:sdt>
        <w:tc>
          <w:tcPr>
            <w:tcW w:w="2519" w:type="dxa"/>
            <w:tcBorders>
              <w:top w:val="nil"/>
              <w:left w:val="nil"/>
              <w:right w:val="nil"/>
            </w:tcBorders>
            <w:vAlign w:val="center"/>
          </w:tcPr>
          <w:p w14:paraId="090903FA" w14:textId="77777777" w:rsidR="006319F6" w:rsidRPr="00D539CB" w:rsidRDefault="006319F6" w:rsidP="005B0C52">
            <w:pPr>
              <w:pStyle w:val="AralkYok"/>
              <w:rPr>
                <w:rFonts w:ascii="Cambria" w:hAnsi="Cambria"/>
                <w:b/>
                <w:bCs/>
              </w:rPr>
            </w:pPr>
            <w:r w:rsidRPr="00D539CB">
              <w:rPr>
                <w:rFonts w:ascii="Cambria" w:hAnsi="Cambria"/>
                <w:b/>
                <w:bCs/>
              </w:rPr>
              <w:t>Yönerge</w:t>
            </w:r>
          </w:p>
        </w:tc>
        <w:sdt>
          <w:sdtPr>
            <w:rPr>
              <w:rFonts w:ascii="Cambria" w:hAnsi="Cambria"/>
              <w:b/>
              <w:bCs/>
            </w:rPr>
            <w:id w:val="-1004193508"/>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39EA36CF" w14:textId="77777777" w:rsidR="006319F6" w:rsidRPr="00D539CB" w:rsidRDefault="006319F6" w:rsidP="005B0C52">
                <w:pPr>
                  <w:pStyle w:val="AralkYok"/>
                  <w:rPr>
                    <w:rFonts w:ascii="Cambria" w:hAnsi="Cambria"/>
                    <w:b/>
                    <w:bCs/>
                  </w:rPr>
                </w:pPr>
                <w:r w:rsidRPr="00D539CB">
                  <w:rPr>
                    <w:rFonts w:ascii="Segoe UI Symbol" w:eastAsia="MS Gothic" w:hAnsi="Segoe UI Symbol" w:cs="Segoe UI Symbol"/>
                    <w:b/>
                    <w:bCs/>
                  </w:rPr>
                  <w:t>☐</w:t>
                </w:r>
              </w:p>
            </w:tc>
          </w:sdtContent>
        </w:sdt>
        <w:tc>
          <w:tcPr>
            <w:tcW w:w="2584" w:type="dxa"/>
            <w:tcBorders>
              <w:top w:val="nil"/>
              <w:left w:val="nil"/>
              <w:right w:val="nil"/>
            </w:tcBorders>
            <w:vAlign w:val="center"/>
          </w:tcPr>
          <w:p w14:paraId="69456462" w14:textId="77777777" w:rsidR="006319F6" w:rsidRPr="00D539CB" w:rsidRDefault="006319F6" w:rsidP="005B0C52">
            <w:pPr>
              <w:pStyle w:val="AralkYok"/>
              <w:rPr>
                <w:rFonts w:ascii="Cambria" w:hAnsi="Cambria"/>
                <w:b/>
                <w:bCs/>
              </w:rPr>
            </w:pPr>
            <w:r w:rsidRPr="00D539CB">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Content>
            <w:tc>
              <w:tcPr>
                <w:tcW w:w="437" w:type="dxa"/>
                <w:tcBorders>
                  <w:top w:val="nil"/>
                  <w:left w:val="nil"/>
                  <w:right w:val="nil"/>
                </w:tcBorders>
                <w:vAlign w:val="center"/>
              </w:tcPr>
              <w:p w14:paraId="262904DB" w14:textId="77777777" w:rsidR="006319F6" w:rsidRPr="00D539CB" w:rsidRDefault="006319F6" w:rsidP="005B0C52">
                <w:pPr>
                  <w:pStyle w:val="AralkYok"/>
                  <w:rPr>
                    <w:rFonts w:ascii="Cambria" w:hAnsi="Cambria"/>
                    <w:b/>
                    <w:bCs/>
                  </w:rPr>
                </w:pPr>
                <w:r w:rsidRPr="00D539CB">
                  <w:rPr>
                    <w:rFonts w:ascii="Segoe UI Symbol" w:eastAsia="MS Gothic" w:hAnsi="Segoe UI Symbol" w:cs="Segoe UI Symbol"/>
                    <w:b/>
                    <w:bCs/>
                  </w:rPr>
                  <w:t>☐</w:t>
                </w:r>
              </w:p>
            </w:tc>
          </w:sdtContent>
        </w:sdt>
        <w:tc>
          <w:tcPr>
            <w:tcW w:w="2649" w:type="dxa"/>
            <w:tcBorders>
              <w:top w:val="nil"/>
              <w:left w:val="nil"/>
            </w:tcBorders>
            <w:vAlign w:val="center"/>
          </w:tcPr>
          <w:p w14:paraId="0EAC05B3" w14:textId="77777777" w:rsidR="006319F6" w:rsidRPr="00D539CB" w:rsidRDefault="006319F6" w:rsidP="005B0C52">
            <w:pPr>
              <w:pStyle w:val="AralkYok"/>
              <w:rPr>
                <w:rFonts w:ascii="Cambria" w:hAnsi="Cambria"/>
                <w:b/>
                <w:bCs/>
              </w:rPr>
            </w:pPr>
            <w:r w:rsidRPr="00D539CB">
              <w:rPr>
                <w:rFonts w:ascii="Cambria" w:hAnsi="Cambria"/>
                <w:b/>
                <w:bCs/>
              </w:rPr>
              <w:t>Sözleşme/Protokol</w:t>
            </w:r>
          </w:p>
        </w:tc>
      </w:tr>
      <w:tr w:rsidR="009A0B72" w:rsidRPr="00D539CB" w14:paraId="29C12B26" w14:textId="77777777" w:rsidTr="006319F6">
        <w:tc>
          <w:tcPr>
            <w:tcW w:w="2508" w:type="dxa"/>
            <w:shd w:val="clear" w:color="auto" w:fill="F2F2F2" w:themeFill="background1" w:themeFillShade="F2"/>
            <w:vAlign w:val="center"/>
          </w:tcPr>
          <w:p w14:paraId="18E9A177" w14:textId="77777777" w:rsidR="009A0B72" w:rsidRPr="00D539CB" w:rsidRDefault="009A0B72" w:rsidP="009A0B72">
            <w:pPr>
              <w:pStyle w:val="AralkYok"/>
              <w:jc w:val="right"/>
              <w:rPr>
                <w:rFonts w:ascii="Cambria" w:hAnsi="Cambria"/>
                <w:b/>
                <w:bCs/>
                <w:color w:val="002060"/>
              </w:rPr>
            </w:pPr>
            <w:r w:rsidRPr="00D539CB">
              <w:rPr>
                <w:rFonts w:ascii="Cambria" w:hAnsi="Cambria"/>
                <w:b/>
                <w:bCs/>
                <w:color w:val="002060"/>
              </w:rPr>
              <w:t>Doküman Adı</w:t>
            </w:r>
          </w:p>
        </w:tc>
        <w:tc>
          <w:tcPr>
            <w:tcW w:w="12052" w:type="dxa"/>
            <w:gridSpan w:val="8"/>
            <w:vAlign w:val="center"/>
          </w:tcPr>
          <w:p w14:paraId="55E41331" w14:textId="740E5D86" w:rsidR="009A0B72" w:rsidRPr="00D539CB" w:rsidRDefault="00D539CB" w:rsidP="005B0C52">
            <w:pPr>
              <w:pStyle w:val="AralkYok"/>
              <w:rPr>
                <w:rFonts w:ascii="Cambria" w:hAnsi="Cambria"/>
                <w:b/>
                <w:bCs/>
                <w:color w:val="002060"/>
              </w:rPr>
            </w:pPr>
            <w:r w:rsidRPr="00D539CB">
              <w:rPr>
                <w:rFonts w:ascii="Cambria" w:hAnsi="Cambria"/>
                <w:b/>
                <w:bCs/>
                <w:color w:val="002060"/>
              </w:rPr>
              <w:t>Lisansüstü Eğitim ve Öğretim Yönetmeliği</w:t>
            </w:r>
          </w:p>
        </w:tc>
      </w:tr>
    </w:tbl>
    <w:p w14:paraId="72A11D4E" w14:textId="77777777" w:rsidR="00BE3E80" w:rsidRPr="00D539CB" w:rsidRDefault="00BE3E80" w:rsidP="005B0C52">
      <w:pPr>
        <w:pStyle w:val="AralkYok"/>
        <w:rPr>
          <w:rFonts w:ascii="Cambria" w:hAnsi="Cambria"/>
          <w:b/>
          <w:bCs/>
          <w:color w:val="002060"/>
        </w:rPr>
      </w:pPr>
    </w:p>
    <w:tbl>
      <w:tblPr>
        <w:tblStyle w:val="TabloKlavuzuAk"/>
        <w:tblW w:w="0" w:type="auto"/>
        <w:tblLook w:val="04A0" w:firstRow="1" w:lastRow="0" w:firstColumn="1" w:lastColumn="0" w:noHBand="0" w:noVBand="1"/>
      </w:tblPr>
      <w:tblGrid>
        <w:gridCol w:w="7280"/>
        <w:gridCol w:w="7280"/>
      </w:tblGrid>
      <w:tr w:rsidR="009A0B72" w:rsidRPr="00D539CB" w14:paraId="139334BC" w14:textId="77777777" w:rsidTr="009A0B72">
        <w:tc>
          <w:tcPr>
            <w:tcW w:w="7280" w:type="dxa"/>
            <w:shd w:val="clear" w:color="auto" w:fill="F2F2F2" w:themeFill="background1" w:themeFillShade="F2"/>
          </w:tcPr>
          <w:p w14:paraId="29EE24A3" w14:textId="77777777" w:rsidR="009A0B72" w:rsidRPr="00D539CB" w:rsidRDefault="009A0B72" w:rsidP="009A0B72">
            <w:pPr>
              <w:pStyle w:val="AralkYok"/>
              <w:jc w:val="center"/>
              <w:rPr>
                <w:rFonts w:ascii="Cambria" w:hAnsi="Cambria"/>
                <w:b/>
                <w:bCs/>
                <w:color w:val="002060"/>
              </w:rPr>
            </w:pPr>
            <w:r w:rsidRPr="00D539CB">
              <w:rPr>
                <w:rFonts w:ascii="Cambria" w:hAnsi="Cambria"/>
                <w:b/>
                <w:bCs/>
                <w:color w:val="002060"/>
              </w:rPr>
              <w:t>ESKİ ŞEKLİ</w:t>
            </w:r>
          </w:p>
        </w:tc>
        <w:tc>
          <w:tcPr>
            <w:tcW w:w="7280" w:type="dxa"/>
            <w:shd w:val="clear" w:color="auto" w:fill="F2F2F2" w:themeFill="background1" w:themeFillShade="F2"/>
          </w:tcPr>
          <w:p w14:paraId="300038E3" w14:textId="77777777" w:rsidR="009A0B72" w:rsidRPr="00D539CB" w:rsidRDefault="009A0B72" w:rsidP="009A0B72">
            <w:pPr>
              <w:pStyle w:val="AralkYok"/>
              <w:jc w:val="center"/>
              <w:rPr>
                <w:rFonts w:ascii="Cambria" w:hAnsi="Cambria"/>
                <w:b/>
                <w:bCs/>
                <w:color w:val="002060"/>
              </w:rPr>
            </w:pPr>
            <w:r w:rsidRPr="00D539CB">
              <w:rPr>
                <w:rFonts w:ascii="Cambria" w:hAnsi="Cambria"/>
                <w:b/>
                <w:bCs/>
                <w:color w:val="002060"/>
              </w:rPr>
              <w:t>YENİ ŞEKLİ</w:t>
            </w:r>
          </w:p>
        </w:tc>
      </w:tr>
      <w:tr w:rsidR="009A0B72" w:rsidRPr="00D539CB" w14:paraId="5F81A6DD" w14:textId="77777777" w:rsidTr="009A0B72">
        <w:tc>
          <w:tcPr>
            <w:tcW w:w="7280" w:type="dxa"/>
          </w:tcPr>
          <w:p w14:paraId="4AFF2EF7" w14:textId="531D186C"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t>Tez danışmanı atanması (YL)</w:t>
            </w:r>
          </w:p>
          <w:p w14:paraId="3AB997EA" w14:textId="3A363894"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t>MADDE 8 –</w:t>
            </w:r>
            <w:r w:rsidRPr="00D539CB">
              <w:rPr>
                <w:rFonts w:ascii="Cambria" w:eastAsia="Times New Roman" w:hAnsi="Cambria" w:cs="Times New Roman"/>
                <w:color w:val="000000"/>
                <w:lang w:eastAsia="tr-TR"/>
              </w:rPr>
              <w:t xml:space="preserve"> (2) </w:t>
            </w:r>
            <w:r w:rsidRPr="00D539CB">
              <w:rPr>
                <w:rFonts w:ascii="Cambria" w:hAnsi="Cambria"/>
                <w:color w:val="000000"/>
              </w:rPr>
              <w:t>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w:t>
            </w:r>
            <w:r w:rsidRPr="00D539CB">
              <w:rPr>
                <w:rFonts w:ascii="Cambria" w:hAnsi="Cambria"/>
                <w:b/>
                <w:bCs/>
                <w:color w:val="000000"/>
              </w:rPr>
              <w:t>(Değişik cümle:RG-1/3/2017-29994)</w:t>
            </w:r>
            <w:r w:rsidRPr="00D539CB">
              <w:rPr>
                <w:rFonts w:ascii="Cambria" w:hAnsi="Cambria"/>
                <w:color w:val="000000"/>
              </w:rPr>
              <w:t xml:space="preserve"> Tez çalışmasının niteliğinin birden fazla tez danışmanı gerektirdiği durumlarda atanacak ikinci tez danışmanı, üniversite kadrosu dışından da en az doktora derecesine sahip kişilerden olabilir. </w:t>
            </w:r>
          </w:p>
          <w:p w14:paraId="115AC2BA" w14:textId="77777777" w:rsidR="009A0B72" w:rsidRPr="00D539CB" w:rsidRDefault="009A0B72" w:rsidP="009A0B72">
            <w:pPr>
              <w:pStyle w:val="AralkYok"/>
              <w:jc w:val="center"/>
              <w:rPr>
                <w:rFonts w:ascii="Cambria" w:hAnsi="Cambria"/>
                <w:bCs/>
              </w:rPr>
            </w:pPr>
          </w:p>
        </w:tc>
        <w:tc>
          <w:tcPr>
            <w:tcW w:w="7280" w:type="dxa"/>
          </w:tcPr>
          <w:p w14:paraId="32035A9A" w14:textId="77777777"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t>Tez danışmanı atanması (YL)</w:t>
            </w:r>
          </w:p>
          <w:p w14:paraId="61ED1669" w14:textId="2F0AB66C" w:rsidR="009A0B72" w:rsidRPr="00D539CB" w:rsidRDefault="00D539CB" w:rsidP="00D539CB">
            <w:pPr>
              <w:spacing w:after="0" w:line="240" w:lineRule="auto"/>
              <w:jc w:val="both"/>
              <w:rPr>
                <w:rFonts w:ascii="Cambria" w:hAnsi="Cambria"/>
                <w:bCs/>
              </w:rPr>
            </w:pPr>
            <w:r w:rsidRPr="00D539CB">
              <w:rPr>
                <w:rFonts w:ascii="Cambria" w:eastAsia="Times New Roman" w:hAnsi="Cambria" w:cs="Times New Roman"/>
                <w:b/>
                <w:bCs/>
                <w:color w:val="000000"/>
                <w:lang w:eastAsia="tr-TR"/>
              </w:rPr>
              <w:t>MADDE 8 –</w:t>
            </w:r>
            <w:r w:rsidRPr="00D539CB">
              <w:rPr>
                <w:rFonts w:ascii="Cambria" w:eastAsia="Times New Roman" w:hAnsi="Cambria" w:cs="Times New Roman"/>
                <w:color w:val="000000"/>
                <w:lang w:eastAsia="tr-TR"/>
              </w:rPr>
              <w:t xml:space="preserve"> (2) </w:t>
            </w:r>
            <w:r w:rsidRPr="00D539CB">
              <w:rPr>
                <w:rFonts w:ascii="Cambria" w:hAnsi="Cambria"/>
                <w:color w:val="000000"/>
              </w:rPr>
              <w:t xml:space="preserve">Tez danışmanı, senatonun belirleyeceği niteliklere sahip öğretim üyeleri arasından seçilir.  </w:t>
            </w:r>
            <w:r w:rsidRPr="00D539CB">
              <w:rPr>
                <w:rFonts w:ascii="Cambria" w:hAnsi="Cambria"/>
                <w:b/>
                <w:bCs/>
                <w:color w:val="00B0F0"/>
              </w:rPr>
              <w:t>2547 sayılı Kanunun ek 46 </w:t>
            </w:r>
            <w:r w:rsidRPr="00D539CB">
              <w:rPr>
                <w:rStyle w:val="spelle"/>
                <w:rFonts w:ascii="Cambria" w:hAnsi="Cambria"/>
                <w:b/>
                <w:bCs/>
                <w:color w:val="00B0F0"/>
              </w:rPr>
              <w:t>ncı</w:t>
            </w:r>
            <w:r w:rsidRPr="00D539CB">
              <w:rPr>
                <w:rFonts w:ascii="Cambria" w:hAnsi="Cambria"/>
                <w:b/>
                <w:bCs/>
                <w:color w:val="00B0F0"/>
              </w:rPr>
              <w:t> maddesi kapsamında kısmi zamanlı olarak görevlendirilen en az doktora derecesine sahip araştırmacılar da tez danışmanı olarak seçilebilir. Ancak bu kişilerin danışman olarak görevlendirilebilmesi için öğrencinin talebi, ilgili araştırmacının yazılı muvafakati ve enstitü yönetim kurulunun kararı şarttır</w:t>
            </w:r>
            <w:r w:rsidRPr="00D539CB">
              <w:rPr>
                <w:rFonts w:ascii="Cambria" w:hAnsi="Cambria"/>
                <w:color w:val="000000"/>
              </w:rPr>
              <w:t>. Yükseköğretim kurumunda belirlenen niteliklere sahip öğretim üyesi bulunmaması halinde üniversite senatosunun belirlediği ilkeler çerçevesinde enstitü yönetim kurulu tarafından başka bir yükseköğretim kurumundan öğretim üyesi danışman olarak seçilebilir. </w:t>
            </w:r>
            <w:r w:rsidRPr="00D539CB">
              <w:rPr>
                <w:rFonts w:ascii="Cambria" w:hAnsi="Cambria"/>
                <w:b/>
                <w:bCs/>
                <w:color w:val="000000"/>
              </w:rPr>
              <w:t>(Değişik cümle:RG-1/3/2017-29994)</w:t>
            </w:r>
            <w:r w:rsidRPr="00D539CB">
              <w:rPr>
                <w:rFonts w:ascii="Cambria" w:hAnsi="Cambria"/>
                <w:color w:val="000000"/>
              </w:rPr>
              <w:t xml:space="preserve"> Tez çalışmasının niteliğinin birden fazla tez danışmanı gerektirdiği durumlarda atanacak ikinci tez danışmanı, üniversite kadrosu dışından da en az doktora derecesine sahip kişilerden olabilir. </w:t>
            </w:r>
          </w:p>
        </w:tc>
      </w:tr>
      <w:tr w:rsidR="00925B46" w:rsidRPr="00D539CB" w14:paraId="7724F29E" w14:textId="77777777" w:rsidTr="009A0B72">
        <w:tc>
          <w:tcPr>
            <w:tcW w:w="7280" w:type="dxa"/>
          </w:tcPr>
          <w:p w14:paraId="35733B46" w14:textId="4A0EA22E"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t>Tez danışmanı atanması (DR)</w:t>
            </w:r>
          </w:p>
          <w:p w14:paraId="0BEB5BA2" w14:textId="17728659" w:rsidR="00925B46" w:rsidRPr="00D539CB" w:rsidRDefault="00D539CB" w:rsidP="00D539CB">
            <w:pPr>
              <w:spacing w:after="0" w:line="240" w:lineRule="auto"/>
              <w:jc w:val="both"/>
              <w:rPr>
                <w:rFonts w:ascii="Cambria" w:hAnsi="Cambria"/>
                <w:bCs/>
              </w:rPr>
            </w:pPr>
            <w:r w:rsidRPr="00D539CB">
              <w:rPr>
                <w:rFonts w:ascii="Cambria" w:eastAsia="Times New Roman" w:hAnsi="Cambria" w:cs="Times New Roman"/>
                <w:b/>
                <w:bCs/>
                <w:color w:val="000000"/>
                <w:lang w:eastAsia="tr-TR"/>
              </w:rPr>
              <w:t>MADDE 18 –</w:t>
            </w:r>
            <w:r w:rsidRPr="00D539CB">
              <w:rPr>
                <w:rFonts w:ascii="Cambria" w:eastAsia="Times New Roman" w:hAnsi="Cambria" w:cs="Times New Roman"/>
                <w:color w:val="000000"/>
                <w:lang w:eastAsia="tr-TR"/>
              </w:rPr>
              <w:t xml:space="preserve"> (2) </w:t>
            </w:r>
            <w:r w:rsidRPr="00D539CB">
              <w:rPr>
                <w:rFonts w:ascii="Cambria" w:hAnsi="Cambria"/>
                <w:color w:val="000000"/>
              </w:rPr>
              <w:t>Tez danışmanı, senatonun belirleyeceği niteliklere sahip öğretim üyeleri arasından seçilir. Yükseköğretim kurumunda belirlenen niteliklere sahip öğretim üyesi bulunmaması halinde üniversite senatosunun belirlediği ilkeler çerçevesinde enstitü yönetim kurulu tarafından başka bir yükseköğretim kurumundan öğretim üyesi danışman olarak seçilebilir. </w:t>
            </w:r>
            <w:r w:rsidRPr="00D539CB">
              <w:rPr>
                <w:rFonts w:ascii="Cambria" w:hAnsi="Cambria"/>
                <w:b/>
                <w:bCs/>
                <w:color w:val="000000"/>
              </w:rPr>
              <w:t>(Değişik cümleler:RG-1/3/2017-29994)</w:t>
            </w:r>
            <w:r w:rsidRPr="00D539CB">
              <w:rPr>
                <w:rFonts w:ascii="Cambria" w:hAnsi="Cambria"/>
                <w:color w:val="000000"/>
              </w:rPr>
              <w:t> Diş hekimliği, eczacılık, tıp ve veteriner fakülteleri anabilim dalları hariç doktora programlarında öğretim üyelerinin tez yönetebilmesi için, başarıyla tamamlanmış en az bir yüksek lisans tezi yönetmiş olması gerekir. Tez çalışmasının niteliğinin birden fazla tez danışmanı gerektirdiği durumlarda atanacak ikinci tez danışmanı, üniversite kadrosu dışından da en az doktora derecesine sahip kişilerden olabilir.</w:t>
            </w:r>
          </w:p>
        </w:tc>
        <w:tc>
          <w:tcPr>
            <w:tcW w:w="7280" w:type="dxa"/>
          </w:tcPr>
          <w:p w14:paraId="2AEB954E" w14:textId="77777777"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t>Tez danışmanı atanması (DR)</w:t>
            </w:r>
          </w:p>
          <w:p w14:paraId="2ACBA9C1" w14:textId="5C860415"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t>MADDE 18 –</w:t>
            </w:r>
            <w:r w:rsidRPr="00D539CB">
              <w:rPr>
                <w:rFonts w:ascii="Cambria" w:eastAsia="Times New Roman" w:hAnsi="Cambria" w:cs="Times New Roman"/>
                <w:color w:val="000000"/>
                <w:lang w:eastAsia="tr-TR"/>
              </w:rPr>
              <w:t> (2)</w:t>
            </w:r>
            <w:r w:rsidRPr="00D539CB">
              <w:rPr>
                <w:rFonts w:ascii="Cambria" w:hAnsi="Cambria"/>
                <w:color w:val="000000"/>
              </w:rPr>
              <w:t xml:space="preserve"> Tez danışmanı, senatonun belirleyeceği niteliklere sahip öğretim üyeleri arasından seçilir. </w:t>
            </w:r>
            <w:r w:rsidRPr="00D539CB">
              <w:rPr>
                <w:rFonts w:ascii="Cambria" w:hAnsi="Cambria"/>
                <w:b/>
                <w:bCs/>
                <w:color w:val="00B0F0"/>
              </w:rPr>
              <w:t>2547 sayılı Kanunun ek 46 </w:t>
            </w:r>
            <w:r w:rsidRPr="00D539CB">
              <w:rPr>
                <w:rStyle w:val="spelle"/>
                <w:rFonts w:ascii="Cambria" w:hAnsi="Cambria"/>
                <w:b/>
                <w:bCs/>
                <w:color w:val="00B0F0"/>
              </w:rPr>
              <w:t>ncı</w:t>
            </w:r>
            <w:r w:rsidRPr="00D539CB">
              <w:rPr>
                <w:rFonts w:ascii="Cambria" w:hAnsi="Cambria"/>
                <w:b/>
                <w:bCs/>
                <w:color w:val="00B0F0"/>
              </w:rPr>
              <w:t> maddesi kapsamında kısmi zamanlı olarak görevlendirilen en az doktora derecesine sahip araştırmacılar da tez danışmanı olarak seçilebilir. Ancak bu kişilerin danışman olarak görevlendirilebilmesi için öğrencinin talebi, ilgili araştırmacının yazılı muvafakati ve enstitü yönetim kurulunun kararı şarttır</w:t>
            </w:r>
            <w:r w:rsidRPr="00D539CB">
              <w:rPr>
                <w:rFonts w:ascii="Cambria" w:hAnsi="Cambria"/>
                <w:color w:val="000000"/>
              </w:rPr>
              <w:t>. Yükseköğretim kurumunda belirlenen niteliklere sahip öğretim üyesi bulunmaması halinde üniversite senatosunun belirlediği ilkeler çerçevesinde enstitü yönetim kurulu tarafından başka bir yükseköğretim kurumundan öğretim üyesi danışman olarak seçilebilir. </w:t>
            </w:r>
            <w:r w:rsidRPr="00D539CB">
              <w:rPr>
                <w:rFonts w:ascii="Cambria" w:hAnsi="Cambria"/>
                <w:b/>
                <w:bCs/>
                <w:color w:val="000000"/>
              </w:rPr>
              <w:t>(Değişik cümleler:RG-1/3/2017-29994)</w:t>
            </w:r>
            <w:r w:rsidRPr="00D539CB">
              <w:rPr>
                <w:rFonts w:ascii="Cambria" w:hAnsi="Cambria"/>
                <w:color w:val="000000"/>
              </w:rPr>
              <w:t xml:space="preserve"> Diş hekimliği, eczacılık, tıp ve veteriner fakülteleri anabilim dalları hariç doktora </w:t>
            </w:r>
            <w:r w:rsidRPr="00D539CB">
              <w:rPr>
                <w:rFonts w:ascii="Cambria" w:hAnsi="Cambria"/>
                <w:color w:val="000000"/>
              </w:rPr>
              <w:lastRenderedPageBreak/>
              <w:t>programlarında öğretim üyelerinin tez yönetebilmesi için, başarıyla tamamlanmış en az bir yüksek lisans tezi yönetmiş olması gerekir. Tez çalışmasının niteliğinin birden fazla tez danışmanı gerektirdiği durumlarda atanacak ikinci tez danışmanı, üniversite kadrosu dışından da en az doktora derecesine sahip kişilerden olabilir.</w:t>
            </w:r>
          </w:p>
          <w:p w14:paraId="5F27062E" w14:textId="77777777" w:rsidR="00925B46" w:rsidRPr="00D539CB" w:rsidRDefault="00925B46" w:rsidP="009A0B72">
            <w:pPr>
              <w:pStyle w:val="AralkYok"/>
              <w:jc w:val="center"/>
              <w:rPr>
                <w:rFonts w:ascii="Cambria" w:hAnsi="Cambria"/>
                <w:bCs/>
              </w:rPr>
            </w:pPr>
          </w:p>
        </w:tc>
      </w:tr>
      <w:tr w:rsidR="00925B46" w:rsidRPr="00D539CB" w14:paraId="221342A7" w14:textId="77777777" w:rsidTr="009A0B72">
        <w:tc>
          <w:tcPr>
            <w:tcW w:w="7280" w:type="dxa"/>
          </w:tcPr>
          <w:p w14:paraId="1102F81B" w14:textId="77777777"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lastRenderedPageBreak/>
              <w:t>Programlar, sınavlar ve değerlendirme</w:t>
            </w:r>
          </w:p>
          <w:p w14:paraId="39F4CDB2" w14:textId="7B53BD17"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t>MADDE 34 –</w:t>
            </w:r>
            <w:r w:rsidRPr="00D539CB">
              <w:rPr>
                <w:rFonts w:ascii="Cambria" w:eastAsia="Times New Roman" w:hAnsi="Cambria" w:cs="Times New Roman"/>
                <w:color w:val="000000"/>
                <w:lang w:eastAsia="tr-TR"/>
              </w:rPr>
              <w:t> (2) </w:t>
            </w:r>
            <w:r w:rsidRPr="00D539CB">
              <w:rPr>
                <w:rFonts w:ascii="Cambria" w:hAnsi="Cambria"/>
                <w:color w:val="000000"/>
              </w:rPr>
              <w:t xml:space="preserve">Bir yarıyılda hangi lisansüstü derslerin açılacağı ve bu derslerin </w:t>
            </w:r>
            <w:r w:rsidRPr="00D539CB">
              <w:rPr>
                <w:rFonts w:ascii="Cambria" w:hAnsi="Cambria"/>
                <w:strike/>
                <w:color w:val="FF0000"/>
              </w:rPr>
              <w:t>hangi öğretim üyeleri</w:t>
            </w:r>
            <w:r w:rsidRPr="00D539CB">
              <w:rPr>
                <w:rFonts w:ascii="Cambria" w:hAnsi="Cambria"/>
                <w:color w:val="FF0000"/>
              </w:rPr>
              <w:t xml:space="preserve"> </w:t>
            </w:r>
            <w:r w:rsidRPr="00D539CB">
              <w:rPr>
                <w:rFonts w:ascii="Cambria" w:hAnsi="Cambria"/>
                <w:color w:val="000000"/>
              </w:rPr>
              <w:t>tarafından verileceği, ilgili enstitü anabilim/</w:t>
            </w:r>
            <w:proofErr w:type="spellStart"/>
            <w:r w:rsidRPr="00D539CB">
              <w:rPr>
                <w:rFonts w:ascii="Cambria" w:hAnsi="Cambria"/>
                <w:color w:val="000000"/>
              </w:rPr>
              <w:t>anasanat</w:t>
            </w:r>
            <w:proofErr w:type="spellEnd"/>
            <w:r w:rsidRPr="00D539CB">
              <w:rPr>
                <w:rFonts w:ascii="Cambria" w:hAnsi="Cambria"/>
                <w:color w:val="000000"/>
              </w:rPr>
              <w:t xml:space="preserve"> dalları başkanlarının önerileri üzerine enstitü yönetim kurulu tarafından belirlenir.</w:t>
            </w:r>
          </w:p>
          <w:p w14:paraId="5F7C846B" w14:textId="77777777" w:rsidR="00925B46" w:rsidRPr="00D539CB" w:rsidRDefault="00925B46" w:rsidP="009A0B72">
            <w:pPr>
              <w:pStyle w:val="AralkYok"/>
              <w:jc w:val="center"/>
              <w:rPr>
                <w:rFonts w:ascii="Cambria" w:hAnsi="Cambria"/>
                <w:bCs/>
              </w:rPr>
            </w:pPr>
          </w:p>
        </w:tc>
        <w:tc>
          <w:tcPr>
            <w:tcW w:w="7280" w:type="dxa"/>
          </w:tcPr>
          <w:p w14:paraId="02E74848" w14:textId="77777777"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t>Programlar, sınavlar ve değerlendirme</w:t>
            </w:r>
          </w:p>
          <w:p w14:paraId="7DCCA361" w14:textId="5898E448" w:rsidR="00D539CB" w:rsidRPr="00D539CB" w:rsidRDefault="00D539CB" w:rsidP="00D539CB">
            <w:pPr>
              <w:spacing w:after="0" w:line="240" w:lineRule="auto"/>
              <w:jc w:val="both"/>
              <w:rPr>
                <w:rFonts w:ascii="Cambria" w:eastAsia="Times New Roman" w:hAnsi="Cambria" w:cs="Times New Roman"/>
                <w:color w:val="000000"/>
                <w:lang w:eastAsia="tr-TR"/>
              </w:rPr>
            </w:pPr>
            <w:r w:rsidRPr="00D539CB">
              <w:rPr>
                <w:rFonts w:ascii="Cambria" w:eastAsia="Times New Roman" w:hAnsi="Cambria" w:cs="Times New Roman"/>
                <w:b/>
                <w:bCs/>
                <w:color w:val="000000"/>
                <w:lang w:eastAsia="tr-TR"/>
              </w:rPr>
              <w:t>MADDE 34 –</w:t>
            </w:r>
            <w:r w:rsidRPr="00D539CB">
              <w:rPr>
                <w:rFonts w:ascii="Cambria" w:eastAsia="Times New Roman" w:hAnsi="Cambria" w:cs="Times New Roman"/>
                <w:color w:val="000000"/>
                <w:lang w:eastAsia="tr-TR"/>
              </w:rPr>
              <w:t> (2) </w:t>
            </w:r>
            <w:r w:rsidRPr="00D539CB">
              <w:rPr>
                <w:rFonts w:ascii="Cambria" w:hAnsi="Cambria"/>
                <w:color w:val="000000"/>
              </w:rPr>
              <w:t xml:space="preserve">Bir yarıyılda hangi lisansüstü derslerin açılacağı ve bu derslerin </w:t>
            </w:r>
            <w:r w:rsidRPr="00D539CB">
              <w:rPr>
                <w:rFonts w:ascii="Cambria" w:hAnsi="Cambria"/>
                <w:b/>
                <w:bCs/>
                <w:color w:val="00B0F0"/>
              </w:rPr>
              <w:t>doktora veya eşdeğeri lisansüstü eğitim mezunu hangi öğretim elemanları ile 2547 sayılı Kanunun ek 46 </w:t>
            </w:r>
            <w:r w:rsidRPr="00D539CB">
              <w:rPr>
                <w:rStyle w:val="spelle"/>
                <w:rFonts w:ascii="Cambria" w:hAnsi="Cambria"/>
                <w:b/>
                <w:bCs/>
                <w:color w:val="00B0F0"/>
              </w:rPr>
              <w:t>ncı</w:t>
            </w:r>
            <w:r w:rsidRPr="00D539CB">
              <w:rPr>
                <w:rFonts w:ascii="Cambria" w:hAnsi="Cambria"/>
                <w:b/>
                <w:bCs/>
                <w:color w:val="00B0F0"/>
              </w:rPr>
              <w:t> maddesi uyarınca görevlendirilen araştırmacılar</w:t>
            </w:r>
            <w:r w:rsidRPr="00D539CB">
              <w:rPr>
                <w:rFonts w:ascii="Cambria" w:hAnsi="Cambria"/>
                <w:color w:val="00B0F0"/>
              </w:rPr>
              <w:t xml:space="preserve"> </w:t>
            </w:r>
            <w:r w:rsidRPr="00D539CB">
              <w:rPr>
                <w:rFonts w:ascii="Cambria" w:hAnsi="Cambria"/>
                <w:color w:val="000000"/>
              </w:rPr>
              <w:t>tarafından verileceği, ilgili enstitü anabilim/</w:t>
            </w:r>
            <w:proofErr w:type="spellStart"/>
            <w:r w:rsidRPr="00D539CB">
              <w:rPr>
                <w:rFonts w:ascii="Cambria" w:hAnsi="Cambria"/>
                <w:color w:val="000000"/>
              </w:rPr>
              <w:t>anasanat</w:t>
            </w:r>
            <w:proofErr w:type="spellEnd"/>
            <w:r w:rsidRPr="00D539CB">
              <w:rPr>
                <w:rFonts w:ascii="Cambria" w:hAnsi="Cambria"/>
                <w:color w:val="000000"/>
              </w:rPr>
              <w:t xml:space="preserve"> dalları başkanlarının önerileri üzerine enstitü yönetim kurulu tarafından belirlenir.</w:t>
            </w:r>
          </w:p>
          <w:p w14:paraId="46F0E1CD" w14:textId="77777777" w:rsidR="00925B46" w:rsidRPr="00D539CB" w:rsidRDefault="00925B46" w:rsidP="009A0B72">
            <w:pPr>
              <w:pStyle w:val="AralkYok"/>
              <w:jc w:val="center"/>
              <w:rPr>
                <w:rFonts w:ascii="Cambria" w:hAnsi="Cambria"/>
                <w:bCs/>
              </w:rPr>
            </w:pPr>
          </w:p>
        </w:tc>
      </w:tr>
    </w:tbl>
    <w:p w14:paraId="4E84ECFB" w14:textId="77777777" w:rsidR="00BE3E80" w:rsidRPr="00D539CB" w:rsidRDefault="00BE3E80" w:rsidP="005B0C52">
      <w:pPr>
        <w:pStyle w:val="AralkYok"/>
        <w:rPr>
          <w:rFonts w:ascii="Cambria" w:hAnsi="Cambria"/>
          <w:b/>
          <w:bCs/>
          <w:color w:val="002060"/>
        </w:rPr>
      </w:pPr>
    </w:p>
    <w:p w14:paraId="5C84320C" w14:textId="77777777" w:rsidR="00BE3E80" w:rsidRPr="00D539CB" w:rsidRDefault="00BE3E80" w:rsidP="005B0C52">
      <w:pPr>
        <w:pStyle w:val="AralkYok"/>
        <w:rPr>
          <w:rFonts w:ascii="Cambria" w:hAnsi="Cambria"/>
          <w:b/>
          <w:bCs/>
          <w:color w:val="002060"/>
        </w:rPr>
      </w:pPr>
    </w:p>
    <w:p w14:paraId="5680E088" w14:textId="77777777" w:rsidR="00BE3E80" w:rsidRPr="00D539CB" w:rsidRDefault="00BE3E80" w:rsidP="005B0C52">
      <w:pPr>
        <w:pStyle w:val="AralkYok"/>
        <w:rPr>
          <w:rFonts w:ascii="Cambria" w:hAnsi="Cambria"/>
          <w:b/>
          <w:bCs/>
          <w:color w:val="002060"/>
        </w:rPr>
      </w:pPr>
    </w:p>
    <w:p w14:paraId="2932AA02" w14:textId="77777777" w:rsidR="00BE3E80" w:rsidRPr="00D539CB" w:rsidRDefault="00BE3E80" w:rsidP="005B0C52">
      <w:pPr>
        <w:pStyle w:val="AralkYok"/>
        <w:rPr>
          <w:rFonts w:ascii="Cambria" w:hAnsi="Cambria"/>
          <w:b/>
          <w:bCs/>
          <w:color w:val="002060"/>
        </w:rPr>
      </w:pPr>
    </w:p>
    <w:p w14:paraId="17B0D816" w14:textId="77777777" w:rsidR="00BE3E80" w:rsidRPr="00D539CB" w:rsidRDefault="00BE3E80" w:rsidP="005B0C52">
      <w:pPr>
        <w:pStyle w:val="AralkYok"/>
        <w:rPr>
          <w:rFonts w:ascii="Cambria" w:hAnsi="Cambria"/>
          <w:b/>
          <w:bCs/>
          <w:color w:val="002060"/>
        </w:rPr>
      </w:pPr>
    </w:p>
    <w:p w14:paraId="765E70CC" w14:textId="77777777" w:rsidR="00BE3E80" w:rsidRPr="00D539CB" w:rsidRDefault="00BE3E80" w:rsidP="005B0C52">
      <w:pPr>
        <w:pStyle w:val="AralkYok"/>
        <w:rPr>
          <w:rFonts w:ascii="Cambria" w:hAnsi="Cambria"/>
          <w:b/>
          <w:bCs/>
          <w:color w:val="002060"/>
        </w:rPr>
      </w:pPr>
    </w:p>
    <w:p w14:paraId="201A33C7" w14:textId="77777777" w:rsidR="00BE3E80" w:rsidRPr="00D539CB" w:rsidRDefault="00BE3E80" w:rsidP="005B0C52">
      <w:pPr>
        <w:pStyle w:val="AralkYok"/>
        <w:rPr>
          <w:rFonts w:ascii="Cambria" w:hAnsi="Cambria"/>
          <w:b/>
          <w:bCs/>
          <w:color w:val="002060"/>
        </w:rPr>
      </w:pPr>
    </w:p>
    <w:p w14:paraId="284121E6" w14:textId="77777777" w:rsidR="00BE3E80" w:rsidRPr="00D539CB" w:rsidRDefault="00BE3E80" w:rsidP="005B0C52">
      <w:pPr>
        <w:pStyle w:val="AralkYok"/>
        <w:rPr>
          <w:rFonts w:ascii="Cambria" w:hAnsi="Cambria"/>
          <w:b/>
          <w:bCs/>
          <w:color w:val="002060"/>
        </w:rPr>
      </w:pPr>
    </w:p>
    <w:p w14:paraId="65BE4EC4" w14:textId="77777777" w:rsidR="00BE3E80" w:rsidRPr="00D539CB" w:rsidRDefault="00BE3E80" w:rsidP="005B0C52">
      <w:pPr>
        <w:pStyle w:val="AralkYok"/>
        <w:rPr>
          <w:rFonts w:ascii="Cambria" w:hAnsi="Cambria"/>
          <w:b/>
          <w:bCs/>
          <w:color w:val="002060"/>
        </w:rPr>
      </w:pPr>
    </w:p>
    <w:p w14:paraId="50E0A9B7" w14:textId="77777777" w:rsidR="00BE3E80" w:rsidRPr="00D539CB" w:rsidRDefault="00BE3E80" w:rsidP="005B0C52">
      <w:pPr>
        <w:pStyle w:val="AralkYok"/>
        <w:rPr>
          <w:rFonts w:ascii="Cambria" w:hAnsi="Cambria"/>
          <w:b/>
          <w:bCs/>
          <w:color w:val="002060"/>
        </w:rPr>
      </w:pPr>
    </w:p>
    <w:p w14:paraId="55DBBCA0" w14:textId="77777777" w:rsidR="00BE3E80" w:rsidRPr="00D539CB" w:rsidRDefault="00BE3E80" w:rsidP="005B0C52">
      <w:pPr>
        <w:pStyle w:val="AralkYok"/>
        <w:rPr>
          <w:rFonts w:ascii="Cambria" w:hAnsi="Cambria"/>
          <w:b/>
          <w:bCs/>
          <w:color w:val="002060"/>
        </w:rPr>
      </w:pPr>
    </w:p>
    <w:p w14:paraId="69E03C96" w14:textId="77777777" w:rsidR="00F478AB" w:rsidRPr="00D539CB" w:rsidRDefault="00F478AB" w:rsidP="00F478AB">
      <w:pPr>
        <w:rPr>
          <w:rFonts w:ascii="Cambria" w:hAnsi="Cambria"/>
        </w:rPr>
      </w:pPr>
    </w:p>
    <w:p w14:paraId="5A812700" w14:textId="77777777" w:rsidR="005B0C52" w:rsidRPr="00D539CB" w:rsidRDefault="00F478AB" w:rsidP="00F478AB">
      <w:pPr>
        <w:tabs>
          <w:tab w:val="left" w:pos="10320"/>
        </w:tabs>
        <w:rPr>
          <w:rFonts w:ascii="Cambria" w:hAnsi="Cambria"/>
        </w:rPr>
      </w:pPr>
      <w:r w:rsidRPr="00D539CB">
        <w:rPr>
          <w:rFonts w:ascii="Cambria" w:hAnsi="Cambria"/>
        </w:rPr>
        <w:tab/>
      </w:r>
    </w:p>
    <w:sectPr w:rsidR="005B0C52" w:rsidRPr="00D539CB" w:rsidSect="00900183">
      <w:headerReference w:type="even" r:id="rId6"/>
      <w:headerReference w:type="default" r:id="rId7"/>
      <w:footerReference w:type="even" r:id="rId8"/>
      <w:footerReference w:type="default" r:id="rId9"/>
      <w:headerReference w:type="first" r:id="rId10"/>
      <w:footerReference w:type="first" r:id="rId11"/>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13DC4" w14:textId="77777777" w:rsidR="00880834" w:rsidRDefault="00880834" w:rsidP="00534F7F">
      <w:pPr>
        <w:spacing w:after="0" w:line="240" w:lineRule="auto"/>
      </w:pPr>
      <w:r>
        <w:separator/>
      </w:r>
    </w:p>
  </w:endnote>
  <w:endnote w:type="continuationSeparator" w:id="0">
    <w:p w14:paraId="411212E4" w14:textId="77777777" w:rsidR="00880834" w:rsidRDefault="0088083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DEAD"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A5C8"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1FD0767C" w14:textId="77777777" w:rsidTr="0020508C">
      <w:trPr>
        <w:trHeight w:val="559"/>
      </w:trPr>
      <w:tc>
        <w:tcPr>
          <w:tcW w:w="666" w:type="dxa"/>
        </w:tcPr>
        <w:p w14:paraId="0F58AE38"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8205589"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6B7E55A3"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68A84B7E"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B651597"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0FF9FC27"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044B23C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51A891A9"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4AE8F0B6"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65675AA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490E492F"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441A5B9A"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42390062"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1B5E4672" w14:textId="77777777" w:rsidR="00534F7F" w:rsidRDefault="00534F7F">
    <w:pPr>
      <w:pStyle w:val="AltBilgi"/>
      <w:rPr>
        <w:sz w:val="6"/>
        <w:szCs w:val="6"/>
      </w:rPr>
    </w:pPr>
  </w:p>
  <w:p w14:paraId="0AC13D43"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5D48"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8CD4" w14:textId="77777777" w:rsidR="00880834" w:rsidRDefault="00880834" w:rsidP="00534F7F">
      <w:pPr>
        <w:spacing w:after="0" w:line="240" w:lineRule="auto"/>
      </w:pPr>
      <w:r>
        <w:separator/>
      </w:r>
    </w:p>
  </w:footnote>
  <w:footnote w:type="continuationSeparator" w:id="0">
    <w:p w14:paraId="2A5F00D2" w14:textId="77777777" w:rsidR="00880834" w:rsidRDefault="00880834"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E57D"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73949958" w14:textId="77777777" w:rsidTr="00D04D2D">
      <w:trPr>
        <w:trHeight w:val="189"/>
      </w:trPr>
      <w:tc>
        <w:tcPr>
          <w:tcW w:w="2547" w:type="dxa"/>
          <w:vMerge w:val="restart"/>
        </w:tcPr>
        <w:p w14:paraId="55AD7C2B"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413AC4DA" wp14:editId="069EADE0">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7B8154C2"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B9DA032"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917729B"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7A99D56C" w14:textId="77777777" w:rsidTr="00D04D2D">
      <w:trPr>
        <w:trHeight w:val="187"/>
      </w:trPr>
      <w:tc>
        <w:tcPr>
          <w:tcW w:w="2547" w:type="dxa"/>
          <w:vMerge/>
        </w:tcPr>
        <w:p w14:paraId="26CBBA8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70BFCD18"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2BFBD2"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68628E"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75D99E47" w14:textId="77777777" w:rsidTr="00D04D2D">
      <w:trPr>
        <w:trHeight w:val="187"/>
      </w:trPr>
      <w:tc>
        <w:tcPr>
          <w:tcW w:w="2547" w:type="dxa"/>
          <w:vMerge/>
        </w:tcPr>
        <w:p w14:paraId="7A9D898A"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8B27656"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17276D1"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F4504E5"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140F726D" w14:textId="77777777" w:rsidTr="00D04D2D">
      <w:trPr>
        <w:trHeight w:val="220"/>
      </w:trPr>
      <w:tc>
        <w:tcPr>
          <w:tcW w:w="2547" w:type="dxa"/>
          <w:vMerge/>
        </w:tcPr>
        <w:p w14:paraId="389A08DF"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8532F41"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A4874BA"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8B2F28A"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2FA56E5B"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2298" w14:textId="77777777"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B5CD3"/>
    <w:rsid w:val="00116355"/>
    <w:rsid w:val="001368C2"/>
    <w:rsid w:val="0015666B"/>
    <w:rsid w:val="00164950"/>
    <w:rsid w:val="001F16FF"/>
    <w:rsid w:val="0020508C"/>
    <w:rsid w:val="00271BDB"/>
    <w:rsid w:val="002F0FD6"/>
    <w:rsid w:val="00322432"/>
    <w:rsid w:val="003230A8"/>
    <w:rsid w:val="003C0F72"/>
    <w:rsid w:val="003D72D5"/>
    <w:rsid w:val="00406E3A"/>
    <w:rsid w:val="004232E9"/>
    <w:rsid w:val="004323BB"/>
    <w:rsid w:val="00437CF7"/>
    <w:rsid w:val="00493C85"/>
    <w:rsid w:val="004B24B6"/>
    <w:rsid w:val="00534F7F"/>
    <w:rsid w:val="00561AEB"/>
    <w:rsid w:val="00587671"/>
    <w:rsid w:val="005B0C52"/>
    <w:rsid w:val="005B25C0"/>
    <w:rsid w:val="006319F6"/>
    <w:rsid w:val="00634E90"/>
    <w:rsid w:val="0064705C"/>
    <w:rsid w:val="00846AD8"/>
    <w:rsid w:val="00880834"/>
    <w:rsid w:val="008B1B67"/>
    <w:rsid w:val="00900183"/>
    <w:rsid w:val="00925B46"/>
    <w:rsid w:val="009A0B72"/>
    <w:rsid w:val="00A5214F"/>
    <w:rsid w:val="00BE3E80"/>
    <w:rsid w:val="00C4333B"/>
    <w:rsid w:val="00CC3E17"/>
    <w:rsid w:val="00CF5DBC"/>
    <w:rsid w:val="00D00CA5"/>
    <w:rsid w:val="00D04D2D"/>
    <w:rsid w:val="00D23B84"/>
    <w:rsid w:val="00D539CB"/>
    <w:rsid w:val="00E63D92"/>
    <w:rsid w:val="00EB72A7"/>
    <w:rsid w:val="00F478AB"/>
    <w:rsid w:val="00F66833"/>
    <w:rsid w:val="00F95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D83B"/>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pelle">
    <w:name w:val="spelle"/>
    <w:basedOn w:val="VarsaylanParagrafYazTipi"/>
    <w:rsid w:val="00D5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23044">
      <w:bodyDiv w:val="1"/>
      <w:marLeft w:val="0"/>
      <w:marRight w:val="0"/>
      <w:marTop w:val="0"/>
      <w:marBottom w:val="0"/>
      <w:divBdr>
        <w:top w:val="none" w:sz="0" w:space="0" w:color="auto"/>
        <w:left w:val="none" w:sz="0" w:space="0" w:color="auto"/>
        <w:bottom w:val="none" w:sz="0" w:space="0" w:color="auto"/>
        <w:right w:val="none" w:sz="0" w:space="0" w:color="auto"/>
      </w:divBdr>
    </w:div>
    <w:div w:id="1598051974">
      <w:bodyDiv w:val="1"/>
      <w:marLeft w:val="0"/>
      <w:marRight w:val="0"/>
      <w:marTop w:val="0"/>
      <w:marBottom w:val="0"/>
      <w:divBdr>
        <w:top w:val="none" w:sz="0" w:space="0" w:color="auto"/>
        <w:left w:val="none" w:sz="0" w:space="0" w:color="auto"/>
        <w:bottom w:val="none" w:sz="0" w:space="0" w:color="auto"/>
        <w:right w:val="none" w:sz="0" w:space="0" w:color="auto"/>
      </w:divBdr>
    </w:div>
    <w:div w:id="17428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3</cp:revision>
  <cp:lastPrinted>2023-01-14T21:48:00Z</cp:lastPrinted>
  <dcterms:created xsi:type="dcterms:W3CDTF">2023-01-14T21:39:00Z</dcterms:created>
  <dcterms:modified xsi:type="dcterms:W3CDTF">2023-01-14T21:48:00Z</dcterms:modified>
</cp:coreProperties>
</file>