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508"/>
        <w:gridCol w:w="457"/>
        <w:gridCol w:w="2532"/>
        <w:gridCol w:w="437"/>
        <w:gridCol w:w="2519"/>
        <w:gridCol w:w="437"/>
        <w:gridCol w:w="2584"/>
        <w:gridCol w:w="437"/>
        <w:gridCol w:w="2649"/>
      </w:tblGrid>
      <w:tr w:rsidR="006319F6" w:rsidRPr="00424DDA" w14:paraId="73CBC3A3" w14:textId="77777777" w:rsidTr="006319F6">
        <w:tc>
          <w:tcPr>
            <w:tcW w:w="2508" w:type="dxa"/>
            <w:vMerge w:val="restart"/>
            <w:shd w:val="clear" w:color="auto" w:fill="F2F2F2" w:themeFill="background1" w:themeFillShade="F2"/>
            <w:vAlign w:val="center"/>
          </w:tcPr>
          <w:p w14:paraId="186CE61E" w14:textId="77777777" w:rsidR="006319F6" w:rsidRPr="00424DDA" w:rsidRDefault="006319F6" w:rsidP="006319F6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Doküman Türü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id w:val="-111937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bottom w:val="nil"/>
                  <w:right w:val="nil"/>
                </w:tcBorders>
                <w:vAlign w:val="center"/>
              </w:tcPr>
              <w:p w14:paraId="24C4D655" w14:textId="77777777" w:rsidR="006319F6" w:rsidRPr="00424DDA" w:rsidRDefault="006319F6" w:rsidP="006319F6">
                <w:pPr>
                  <w:pStyle w:val="AralkYok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424DD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  <w:tcBorders>
              <w:left w:val="nil"/>
              <w:bottom w:val="nil"/>
              <w:right w:val="nil"/>
            </w:tcBorders>
            <w:vAlign w:val="center"/>
          </w:tcPr>
          <w:p w14:paraId="2E5F2EA8" w14:textId="77777777" w:rsidR="006319F6" w:rsidRPr="00424DDA" w:rsidRDefault="006319F6" w:rsidP="006319F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sz w:val="24"/>
                <w:szCs w:val="24"/>
              </w:rPr>
              <w:t>Kanun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id w:val="87026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48DAA37" w14:textId="77777777" w:rsidR="006319F6" w:rsidRPr="00424DDA" w:rsidRDefault="006319F6" w:rsidP="006319F6">
                <w:pPr>
                  <w:pStyle w:val="AralkYok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424DD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19" w:type="dxa"/>
            <w:tcBorders>
              <w:left w:val="nil"/>
              <w:bottom w:val="nil"/>
              <w:right w:val="nil"/>
            </w:tcBorders>
            <w:vAlign w:val="center"/>
          </w:tcPr>
          <w:p w14:paraId="19C7C8E3" w14:textId="77777777" w:rsidR="006319F6" w:rsidRPr="00424DDA" w:rsidRDefault="006319F6" w:rsidP="006319F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sz w:val="24"/>
                <w:szCs w:val="24"/>
              </w:rPr>
              <w:t>CB Kararnamesi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id w:val="-210455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20727C31" w14:textId="77777777" w:rsidR="006319F6" w:rsidRPr="00424DDA" w:rsidRDefault="006319F6" w:rsidP="006319F6">
                <w:pPr>
                  <w:pStyle w:val="AralkYok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424DD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84" w:type="dxa"/>
            <w:tcBorders>
              <w:left w:val="nil"/>
              <w:bottom w:val="nil"/>
              <w:right w:val="nil"/>
            </w:tcBorders>
            <w:vAlign w:val="center"/>
          </w:tcPr>
          <w:p w14:paraId="63132177" w14:textId="77777777" w:rsidR="006319F6" w:rsidRPr="00424DDA" w:rsidRDefault="006319F6" w:rsidP="006319F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sz w:val="24"/>
                <w:szCs w:val="24"/>
              </w:rPr>
              <w:t>CB Kararı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id w:val="-39435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6FF7BEE0" w14:textId="77777777" w:rsidR="006319F6" w:rsidRPr="00424DDA" w:rsidRDefault="006319F6" w:rsidP="006319F6">
                <w:pPr>
                  <w:pStyle w:val="AralkYok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424DD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49" w:type="dxa"/>
            <w:tcBorders>
              <w:left w:val="nil"/>
              <w:bottom w:val="nil"/>
            </w:tcBorders>
            <w:vAlign w:val="center"/>
          </w:tcPr>
          <w:p w14:paraId="0E627FC1" w14:textId="77777777" w:rsidR="006319F6" w:rsidRPr="00424DDA" w:rsidRDefault="006319F6" w:rsidP="006319F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sz w:val="24"/>
                <w:szCs w:val="24"/>
              </w:rPr>
              <w:t>Tebliğ</w:t>
            </w:r>
          </w:p>
        </w:tc>
      </w:tr>
      <w:tr w:rsidR="006319F6" w:rsidRPr="00424DDA" w14:paraId="403E8098" w14:textId="77777777" w:rsidTr="006319F6">
        <w:tc>
          <w:tcPr>
            <w:tcW w:w="2508" w:type="dxa"/>
            <w:vMerge/>
            <w:shd w:val="clear" w:color="auto" w:fill="F2F2F2" w:themeFill="background1" w:themeFillShade="F2"/>
            <w:vAlign w:val="center"/>
          </w:tcPr>
          <w:p w14:paraId="6B1D2AB7" w14:textId="77777777" w:rsidR="006319F6" w:rsidRPr="00424DDA" w:rsidRDefault="006319F6" w:rsidP="004232E9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id w:val="-13956486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nil"/>
                  <w:right w:val="nil"/>
                </w:tcBorders>
                <w:vAlign w:val="center"/>
              </w:tcPr>
              <w:p w14:paraId="58FC9AE7" w14:textId="77777777" w:rsidR="006319F6" w:rsidRPr="00424DDA" w:rsidRDefault="00424DDA" w:rsidP="005B0C52">
                <w:pPr>
                  <w:pStyle w:val="AralkYok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424DD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532" w:type="dxa"/>
            <w:tcBorders>
              <w:top w:val="nil"/>
              <w:left w:val="nil"/>
              <w:right w:val="nil"/>
            </w:tcBorders>
            <w:vAlign w:val="center"/>
          </w:tcPr>
          <w:p w14:paraId="6DCF6376" w14:textId="77777777" w:rsidR="006319F6" w:rsidRPr="00424DDA" w:rsidRDefault="006319F6" w:rsidP="005B0C52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sz w:val="24"/>
                <w:szCs w:val="24"/>
              </w:rPr>
              <w:t>Yönetmelik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id w:val="-124056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8279403" w14:textId="77777777" w:rsidR="006319F6" w:rsidRPr="00424DDA" w:rsidRDefault="006319F6" w:rsidP="005B0C52">
                <w:pPr>
                  <w:pStyle w:val="AralkYok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424DD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19" w:type="dxa"/>
            <w:tcBorders>
              <w:top w:val="nil"/>
              <w:left w:val="nil"/>
              <w:right w:val="nil"/>
            </w:tcBorders>
            <w:vAlign w:val="center"/>
          </w:tcPr>
          <w:p w14:paraId="31661188" w14:textId="77777777" w:rsidR="006319F6" w:rsidRPr="00424DDA" w:rsidRDefault="006319F6" w:rsidP="005B0C52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sz w:val="24"/>
                <w:szCs w:val="24"/>
              </w:rPr>
              <w:t>Yönerge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id w:val="-100419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3BB4B19" w14:textId="77777777" w:rsidR="006319F6" w:rsidRPr="00424DDA" w:rsidRDefault="006319F6" w:rsidP="005B0C52">
                <w:pPr>
                  <w:pStyle w:val="AralkYok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424DD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84" w:type="dxa"/>
            <w:tcBorders>
              <w:top w:val="nil"/>
              <w:left w:val="nil"/>
              <w:right w:val="nil"/>
            </w:tcBorders>
            <w:vAlign w:val="center"/>
          </w:tcPr>
          <w:p w14:paraId="333CDCDE" w14:textId="77777777" w:rsidR="006319F6" w:rsidRPr="00424DDA" w:rsidRDefault="006319F6" w:rsidP="005B0C52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sz w:val="24"/>
                <w:szCs w:val="24"/>
              </w:rPr>
              <w:t>Esas ve Usul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id w:val="115179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0F201DF" w14:textId="77777777" w:rsidR="006319F6" w:rsidRPr="00424DDA" w:rsidRDefault="006319F6" w:rsidP="005B0C52">
                <w:pPr>
                  <w:pStyle w:val="AralkYok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424DD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49" w:type="dxa"/>
            <w:tcBorders>
              <w:top w:val="nil"/>
              <w:left w:val="nil"/>
            </w:tcBorders>
            <w:vAlign w:val="center"/>
          </w:tcPr>
          <w:p w14:paraId="1F3E9DF5" w14:textId="77777777" w:rsidR="006319F6" w:rsidRPr="00424DDA" w:rsidRDefault="006319F6" w:rsidP="005B0C52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sz w:val="24"/>
                <w:szCs w:val="24"/>
              </w:rPr>
              <w:t>Sözleşme/Protokol</w:t>
            </w:r>
          </w:p>
        </w:tc>
      </w:tr>
      <w:tr w:rsidR="009A0B72" w:rsidRPr="00424DDA" w14:paraId="1529687D" w14:textId="77777777" w:rsidTr="006319F6"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38D810B9" w14:textId="77777777" w:rsidR="009A0B72" w:rsidRPr="00424DDA" w:rsidRDefault="009A0B72" w:rsidP="009A0B72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Doküman Adı</w:t>
            </w:r>
          </w:p>
        </w:tc>
        <w:tc>
          <w:tcPr>
            <w:tcW w:w="12052" w:type="dxa"/>
            <w:gridSpan w:val="8"/>
            <w:vAlign w:val="center"/>
          </w:tcPr>
          <w:p w14:paraId="54066A50" w14:textId="158EDB28" w:rsidR="009A0B72" w:rsidRPr="00424DDA" w:rsidRDefault="00424DDA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Lisans üstü Eğitim-Öğretim Enstitülerinin Teşkilat ve İşleyiş Yönetmeliği</w:t>
            </w:r>
          </w:p>
        </w:tc>
      </w:tr>
    </w:tbl>
    <w:p w14:paraId="709A4CB0" w14:textId="77777777" w:rsidR="00BE3E80" w:rsidRPr="00424DDA" w:rsidRDefault="00BE3E80" w:rsidP="005B0C52">
      <w:pPr>
        <w:pStyle w:val="AralkYok"/>
        <w:rPr>
          <w:rFonts w:ascii="Cambria" w:hAnsi="Cambria"/>
          <w:b/>
          <w:bCs/>
          <w:color w:val="002060"/>
          <w:sz w:val="24"/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A0B72" w:rsidRPr="00424DDA" w14:paraId="24ECB0E9" w14:textId="77777777" w:rsidTr="009A0B72">
        <w:tc>
          <w:tcPr>
            <w:tcW w:w="7280" w:type="dxa"/>
            <w:shd w:val="clear" w:color="auto" w:fill="F2F2F2" w:themeFill="background1" w:themeFillShade="F2"/>
          </w:tcPr>
          <w:p w14:paraId="6A7CEE80" w14:textId="77777777" w:rsidR="009A0B72" w:rsidRPr="00424DDA" w:rsidRDefault="009A0B72" w:rsidP="009A0B7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ESKİ ŞEKLİ</w:t>
            </w:r>
          </w:p>
        </w:tc>
        <w:tc>
          <w:tcPr>
            <w:tcW w:w="7280" w:type="dxa"/>
            <w:shd w:val="clear" w:color="auto" w:fill="F2F2F2" w:themeFill="background1" w:themeFillShade="F2"/>
          </w:tcPr>
          <w:p w14:paraId="55D69A5C" w14:textId="77777777" w:rsidR="009A0B72" w:rsidRPr="00424DDA" w:rsidRDefault="009A0B72" w:rsidP="009A0B7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424DDA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YENİ ŞEKLİ</w:t>
            </w:r>
          </w:p>
        </w:tc>
      </w:tr>
      <w:tr w:rsidR="009A0B72" w:rsidRPr="00424DDA" w14:paraId="4EA118BB" w14:textId="77777777" w:rsidTr="009A0B72">
        <w:tc>
          <w:tcPr>
            <w:tcW w:w="7280" w:type="dxa"/>
          </w:tcPr>
          <w:p w14:paraId="67405E0D" w14:textId="77777777" w:rsidR="00424DDA" w:rsidRPr="00424DDA" w:rsidRDefault="00424DDA" w:rsidP="00424DDA">
            <w:pPr>
              <w:spacing w:line="305" w:lineRule="atLeast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424DD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Madde 9 –</w:t>
            </w:r>
            <w:r w:rsidRPr="00424DDA">
              <w:rPr>
                <w:rFonts w:ascii="Cambria" w:hAnsi="Cambria" w:cs="Calibri"/>
                <w:color w:val="000000"/>
                <w:sz w:val="24"/>
                <w:szCs w:val="24"/>
              </w:rPr>
              <w:t> </w:t>
            </w:r>
            <w:r w:rsidRPr="00424DD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Enstitü Anabilim Dalları lisans üstü ders programları, Üniversite Senatolarınca kararlaştırılan asgari muhtevaya uymak şartı ile ilgili Enstitü Kurulunda görüşülür ve bu kurul tarafından onaylanır.</w:t>
            </w:r>
          </w:p>
          <w:p w14:paraId="274BAD4B" w14:textId="2B650200" w:rsidR="009A0B72" w:rsidRPr="00424DDA" w:rsidRDefault="00424DDA" w:rsidP="00424DDA">
            <w:pPr>
              <w:spacing w:line="305" w:lineRule="atLeast"/>
              <w:jc w:val="both"/>
              <w:rPr>
                <w:rFonts w:ascii="Cambria" w:hAnsi="Cambria"/>
                <w:bCs/>
                <w:strike/>
                <w:sz w:val="24"/>
                <w:szCs w:val="24"/>
              </w:rPr>
            </w:pPr>
            <w:r w:rsidRPr="00424DDA">
              <w:rPr>
                <w:rFonts w:ascii="Cambria" w:eastAsia="Times New Roman" w:hAnsi="Cambria" w:cs="Calibri"/>
                <w:strike/>
                <w:color w:val="FF0000"/>
                <w:sz w:val="24"/>
                <w:szCs w:val="24"/>
                <w:lang w:eastAsia="tr-TR"/>
              </w:rPr>
              <w:t xml:space="preserve">Bir yarıyılda hangi lisans üstü derslerin açılacağı ve bu derslerin hangi öğretim üyeleri tarafından verileceği, ilgili Enstitü anabilim ve enstitü </w:t>
            </w:r>
            <w:proofErr w:type="spellStart"/>
            <w:r w:rsidRPr="00424DDA">
              <w:rPr>
                <w:rFonts w:ascii="Cambria" w:eastAsia="Times New Roman" w:hAnsi="Cambria" w:cs="Calibri"/>
                <w:strike/>
                <w:color w:val="FF0000"/>
                <w:sz w:val="24"/>
                <w:szCs w:val="24"/>
                <w:lang w:eastAsia="tr-TR"/>
              </w:rPr>
              <w:t>anasanat</w:t>
            </w:r>
            <w:proofErr w:type="spellEnd"/>
            <w:r w:rsidRPr="00424DDA">
              <w:rPr>
                <w:rFonts w:ascii="Cambria" w:eastAsia="Times New Roman" w:hAnsi="Cambria" w:cs="Calibri"/>
                <w:strike/>
                <w:color w:val="FF0000"/>
                <w:sz w:val="24"/>
                <w:szCs w:val="24"/>
                <w:lang w:eastAsia="tr-TR"/>
              </w:rPr>
              <w:t xml:space="preserve"> dalları başkanlarının öğretim üyeleriyle birlikte yapacakları tespitlere dayalı olarak Enstitü Kurulu tarafından belirlenir.</w:t>
            </w:r>
          </w:p>
        </w:tc>
        <w:tc>
          <w:tcPr>
            <w:tcW w:w="7280" w:type="dxa"/>
          </w:tcPr>
          <w:p w14:paraId="60BF022E" w14:textId="77777777" w:rsidR="00424DDA" w:rsidRPr="00424DDA" w:rsidRDefault="00424DDA" w:rsidP="00424DDA">
            <w:pPr>
              <w:spacing w:line="305" w:lineRule="atLeast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424DD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Madde 9 –</w:t>
            </w:r>
            <w:r w:rsidRPr="00424DDA">
              <w:rPr>
                <w:rFonts w:ascii="Cambria" w:hAnsi="Cambria" w:cs="Calibri"/>
                <w:color w:val="000000"/>
                <w:sz w:val="24"/>
                <w:szCs w:val="24"/>
              </w:rPr>
              <w:t> </w:t>
            </w:r>
            <w:r w:rsidRPr="00424DD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Enstitü Anabilim Dalları lisans üstü ders programları, Üniversite Senatolarınca kararlaştırılan asgari muhtevaya uymak şartı ile ilgili Enstitü Kurulunda görüşülür ve bu kurul tarafından onaylanır.</w:t>
            </w:r>
          </w:p>
          <w:p w14:paraId="1D43D723" w14:textId="13B379E5" w:rsidR="009A0B72" w:rsidRPr="00424DDA" w:rsidRDefault="00424DDA" w:rsidP="00424DDA">
            <w:pPr>
              <w:pStyle w:val="AralkYok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424DDA">
              <w:rPr>
                <w:rFonts w:ascii="Cambria" w:hAnsi="Cambria"/>
                <w:color w:val="00B0F0"/>
                <w:sz w:val="24"/>
                <w:szCs w:val="24"/>
              </w:rPr>
              <w:t xml:space="preserve">Bir yarıyılda hangi lisansüstü derslerin açılacağı ve bu derslerin doktora veya eşdeğeri lisansüstü eğitim mezunu hangi öğretim elemanları ile 2547 sayılı Kanunun ek </w:t>
            </w:r>
            <w:proofErr w:type="gramStart"/>
            <w:r w:rsidRPr="00424DDA">
              <w:rPr>
                <w:rFonts w:ascii="Cambria" w:hAnsi="Cambria"/>
                <w:color w:val="00B0F0"/>
                <w:sz w:val="24"/>
                <w:szCs w:val="24"/>
              </w:rPr>
              <w:t>46 </w:t>
            </w:r>
            <w:r w:rsidRPr="00424DDA">
              <w:rPr>
                <w:rStyle w:val="spelle"/>
                <w:rFonts w:ascii="Cambria" w:hAnsi="Cambria"/>
                <w:color w:val="00B0F0"/>
                <w:sz w:val="24"/>
                <w:szCs w:val="24"/>
              </w:rPr>
              <w:t>ncı</w:t>
            </w:r>
            <w:proofErr w:type="gramEnd"/>
            <w:r w:rsidRPr="00424DDA">
              <w:rPr>
                <w:rFonts w:ascii="Cambria" w:hAnsi="Cambria"/>
                <w:color w:val="00B0F0"/>
                <w:sz w:val="24"/>
                <w:szCs w:val="24"/>
              </w:rPr>
              <w:t> maddesi uyarınca görevlendirilen araştırmacılar tarafından verileceği, ilgili enstitü anabilim/</w:t>
            </w:r>
            <w:proofErr w:type="spellStart"/>
            <w:r w:rsidRPr="00424DDA">
              <w:rPr>
                <w:rStyle w:val="spelle"/>
                <w:rFonts w:ascii="Cambria" w:hAnsi="Cambria"/>
                <w:color w:val="00B0F0"/>
                <w:sz w:val="24"/>
                <w:szCs w:val="24"/>
              </w:rPr>
              <w:t>anasanat</w:t>
            </w:r>
            <w:proofErr w:type="spellEnd"/>
            <w:r w:rsidRPr="00424DDA">
              <w:rPr>
                <w:rFonts w:ascii="Cambria" w:hAnsi="Cambria"/>
                <w:color w:val="00B0F0"/>
                <w:sz w:val="24"/>
                <w:szCs w:val="24"/>
              </w:rPr>
              <w:t> dalları başkanlarının önerileri üzerine enstitü yönetim kurulu tarafından belirlenir.</w:t>
            </w:r>
          </w:p>
        </w:tc>
      </w:tr>
    </w:tbl>
    <w:p w14:paraId="35552BA5" w14:textId="77777777" w:rsidR="00BE3E80" w:rsidRPr="00424DDA" w:rsidRDefault="00BE3E80" w:rsidP="005B0C52">
      <w:pPr>
        <w:pStyle w:val="AralkYok"/>
        <w:rPr>
          <w:rFonts w:ascii="Cambria" w:hAnsi="Cambria"/>
          <w:b/>
          <w:bCs/>
          <w:color w:val="002060"/>
          <w:sz w:val="24"/>
          <w:szCs w:val="24"/>
        </w:rPr>
      </w:pPr>
    </w:p>
    <w:p w14:paraId="689294DE" w14:textId="77777777" w:rsidR="00BE3E80" w:rsidRPr="00424DDA" w:rsidRDefault="00BE3E80" w:rsidP="005B0C52">
      <w:pPr>
        <w:pStyle w:val="AralkYok"/>
        <w:rPr>
          <w:rFonts w:ascii="Cambria" w:hAnsi="Cambria"/>
          <w:b/>
          <w:bCs/>
          <w:color w:val="002060"/>
          <w:sz w:val="24"/>
          <w:szCs w:val="24"/>
        </w:rPr>
      </w:pPr>
    </w:p>
    <w:p w14:paraId="5A65F78B" w14:textId="77777777" w:rsidR="00BE3E80" w:rsidRPr="00424DDA" w:rsidRDefault="00BE3E80" w:rsidP="005B0C52">
      <w:pPr>
        <w:pStyle w:val="AralkYok"/>
        <w:rPr>
          <w:rFonts w:ascii="Cambria" w:hAnsi="Cambria"/>
          <w:b/>
          <w:bCs/>
          <w:color w:val="002060"/>
          <w:sz w:val="24"/>
          <w:szCs w:val="24"/>
        </w:rPr>
      </w:pPr>
    </w:p>
    <w:p w14:paraId="14D662BF" w14:textId="77777777" w:rsidR="00F478AB" w:rsidRPr="00424DDA" w:rsidRDefault="00F478AB" w:rsidP="00F478AB">
      <w:pPr>
        <w:rPr>
          <w:rFonts w:ascii="Cambria" w:hAnsi="Cambria"/>
          <w:sz w:val="24"/>
          <w:szCs w:val="24"/>
        </w:rPr>
      </w:pPr>
    </w:p>
    <w:p w14:paraId="7F96E54B" w14:textId="77777777" w:rsidR="005B0C52" w:rsidRPr="00424DDA" w:rsidRDefault="00F478AB" w:rsidP="00F478AB">
      <w:pPr>
        <w:tabs>
          <w:tab w:val="left" w:pos="10320"/>
        </w:tabs>
        <w:rPr>
          <w:rFonts w:ascii="Cambria" w:hAnsi="Cambria"/>
          <w:sz w:val="24"/>
          <w:szCs w:val="24"/>
        </w:rPr>
      </w:pPr>
      <w:r w:rsidRPr="00424DDA">
        <w:rPr>
          <w:rFonts w:ascii="Cambria" w:hAnsi="Cambria"/>
          <w:sz w:val="24"/>
          <w:szCs w:val="24"/>
        </w:rPr>
        <w:tab/>
      </w:r>
    </w:p>
    <w:sectPr w:rsidR="005B0C52" w:rsidRPr="00424DDA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7174" w14:textId="77777777" w:rsidR="00251174" w:rsidRDefault="00251174" w:rsidP="00534F7F">
      <w:pPr>
        <w:spacing w:after="0" w:line="240" w:lineRule="auto"/>
      </w:pPr>
      <w:r>
        <w:separator/>
      </w:r>
    </w:p>
  </w:endnote>
  <w:endnote w:type="continuationSeparator" w:id="0">
    <w:p w14:paraId="0BBCD713" w14:textId="77777777" w:rsidR="00251174" w:rsidRDefault="0025117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1BAB" w14:textId="77777777" w:rsidR="00D23B84" w:rsidRDefault="00D23B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3FA5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69684B0A" w14:textId="77777777" w:rsidTr="0020508C">
      <w:trPr>
        <w:trHeight w:val="559"/>
      </w:trPr>
      <w:tc>
        <w:tcPr>
          <w:tcW w:w="666" w:type="dxa"/>
        </w:tcPr>
        <w:p w14:paraId="08A4925C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C8F78BD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1717AFAC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02BB1821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E9957C5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BC8F9BC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2821719F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0AFD0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9358A3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4605318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04A1369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4D7774A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19082B0D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14DD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14DD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113BD1C" w14:textId="77777777" w:rsidR="00534F7F" w:rsidRDefault="00534F7F">
    <w:pPr>
      <w:pStyle w:val="AltBilgi"/>
      <w:rPr>
        <w:sz w:val="6"/>
        <w:szCs w:val="6"/>
      </w:rPr>
    </w:pPr>
  </w:p>
  <w:p w14:paraId="4D4ACC63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C646" w14:textId="77777777" w:rsidR="00D23B84" w:rsidRDefault="00D23B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3AE3" w14:textId="77777777" w:rsidR="00251174" w:rsidRDefault="00251174" w:rsidP="00534F7F">
      <w:pPr>
        <w:spacing w:after="0" w:line="240" w:lineRule="auto"/>
      </w:pPr>
      <w:r>
        <w:separator/>
      </w:r>
    </w:p>
  </w:footnote>
  <w:footnote w:type="continuationSeparator" w:id="0">
    <w:p w14:paraId="088F666E" w14:textId="77777777" w:rsidR="00251174" w:rsidRDefault="0025117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00CF" w14:textId="77777777" w:rsidR="00D23B84" w:rsidRDefault="00D23B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6EF49C6D" w14:textId="77777777" w:rsidTr="00D04D2D">
      <w:trPr>
        <w:trHeight w:val="189"/>
      </w:trPr>
      <w:tc>
        <w:tcPr>
          <w:tcW w:w="2547" w:type="dxa"/>
          <w:vMerge w:val="restart"/>
        </w:tcPr>
        <w:p w14:paraId="3B66F705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687B3A9" wp14:editId="0F04343D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81F5E18" w14:textId="77777777" w:rsidR="00534F7F" w:rsidRPr="0092378E" w:rsidRDefault="009A0B72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KARŞILAŞTIRMA CETVELİ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69B26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FEE2B00" w14:textId="77777777" w:rsidR="00534F7F" w:rsidRPr="00171789" w:rsidRDefault="00534F7F" w:rsidP="00D23B8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23B84">
            <w:rPr>
              <w:rFonts w:ascii="Cambria" w:hAnsi="Cambria"/>
              <w:color w:val="002060"/>
              <w:sz w:val="16"/>
              <w:szCs w:val="16"/>
            </w:rPr>
            <w:t>376</w:t>
          </w:r>
        </w:p>
      </w:tc>
    </w:tr>
    <w:tr w:rsidR="00534F7F" w14:paraId="3DDBDB8C" w14:textId="77777777" w:rsidTr="00D04D2D">
      <w:trPr>
        <w:trHeight w:val="187"/>
      </w:trPr>
      <w:tc>
        <w:tcPr>
          <w:tcW w:w="2547" w:type="dxa"/>
          <w:vMerge/>
        </w:tcPr>
        <w:p w14:paraId="3922048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13629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7B913C4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2381DCC" w14:textId="77777777" w:rsidR="00D23B84" w:rsidRPr="00171789" w:rsidRDefault="00D23B84" w:rsidP="00D23B8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15.04.2020</w:t>
          </w:r>
        </w:p>
      </w:tc>
    </w:tr>
    <w:tr w:rsidR="00534F7F" w14:paraId="6F23C2EF" w14:textId="77777777" w:rsidTr="00D04D2D">
      <w:trPr>
        <w:trHeight w:val="187"/>
      </w:trPr>
      <w:tc>
        <w:tcPr>
          <w:tcW w:w="2547" w:type="dxa"/>
          <w:vMerge/>
        </w:tcPr>
        <w:p w14:paraId="36826BC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46E24B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0841FE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C8D86D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99C214D" w14:textId="77777777" w:rsidTr="00D04D2D">
      <w:trPr>
        <w:trHeight w:val="220"/>
      </w:trPr>
      <w:tc>
        <w:tcPr>
          <w:tcW w:w="2547" w:type="dxa"/>
          <w:vMerge/>
        </w:tcPr>
        <w:p w14:paraId="49FA360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EF8418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4F5AEDB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41DBDA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5B6380D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F11E" w14:textId="77777777" w:rsidR="00D23B84" w:rsidRDefault="00D23B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DB"/>
    <w:rsid w:val="000B5CD3"/>
    <w:rsid w:val="00116355"/>
    <w:rsid w:val="001368C2"/>
    <w:rsid w:val="0015666B"/>
    <w:rsid w:val="00164950"/>
    <w:rsid w:val="001F16FF"/>
    <w:rsid w:val="0020508C"/>
    <w:rsid w:val="00251174"/>
    <w:rsid w:val="00271BDB"/>
    <w:rsid w:val="002F0FD6"/>
    <w:rsid w:val="00322432"/>
    <w:rsid w:val="003230A8"/>
    <w:rsid w:val="003C0F72"/>
    <w:rsid w:val="003D72D5"/>
    <w:rsid w:val="00406E3A"/>
    <w:rsid w:val="004232E9"/>
    <w:rsid w:val="00424DDA"/>
    <w:rsid w:val="00437CF7"/>
    <w:rsid w:val="004B24B6"/>
    <w:rsid w:val="00534F7F"/>
    <w:rsid w:val="00561AEB"/>
    <w:rsid w:val="00587671"/>
    <w:rsid w:val="005B0C52"/>
    <w:rsid w:val="005B25C0"/>
    <w:rsid w:val="006319F6"/>
    <w:rsid w:val="00634E90"/>
    <w:rsid w:val="0064705C"/>
    <w:rsid w:val="00846AD8"/>
    <w:rsid w:val="008B1B67"/>
    <w:rsid w:val="00900183"/>
    <w:rsid w:val="00925B46"/>
    <w:rsid w:val="009A0B72"/>
    <w:rsid w:val="00A5214F"/>
    <w:rsid w:val="00BE3E80"/>
    <w:rsid w:val="00CC3E17"/>
    <w:rsid w:val="00CF5DBC"/>
    <w:rsid w:val="00D00CA5"/>
    <w:rsid w:val="00D04D2D"/>
    <w:rsid w:val="00D23B84"/>
    <w:rsid w:val="00D625BE"/>
    <w:rsid w:val="00E63D92"/>
    <w:rsid w:val="00EB72A7"/>
    <w:rsid w:val="00F478AB"/>
    <w:rsid w:val="00F66833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DBF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pelle">
    <w:name w:val="spelle"/>
    <w:basedOn w:val="VarsaylanParagrafYazTipi"/>
    <w:rsid w:val="0042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Turgay Delialioğlu</cp:lastModifiedBy>
  <cp:revision>2</cp:revision>
  <dcterms:created xsi:type="dcterms:W3CDTF">2023-01-14T21:45:00Z</dcterms:created>
  <dcterms:modified xsi:type="dcterms:W3CDTF">2023-01-14T21:45:00Z</dcterms:modified>
</cp:coreProperties>
</file>