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
        <w:tblW w:w="0" w:type="auto"/>
        <w:tblLook w:val="04A0" w:firstRow="1" w:lastRow="0" w:firstColumn="1" w:lastColumn="0" w:noHBand="0" w:noVBand="1"/>
      </w:tblPr>
      <w:tblGrid>
        <w:gridCol w:w="2508"/>
        <w:gridCol w:w="457"/>
        <w:gridCol w:w="2532"/>
        <w:gridCol w:w="437"/>
        <w:gridCol w:w="2519"/>
        <w:gridCol w:w="437"/>
        <w:gridCol w:w="2584"/>
        <w:gridCol w:w="437"/>
        <w:gridCol w:w="2649"/>
      </w:tblGrid>
      <w:tr w:rsidR="006319F6" w:rsidRPr="007C3B77" w14:paraId="420A2773" w14:textId="77777777" w:rsidTr="006319F6">
        <w:tc>
          <w:tcPr>
            <w:tcW w:w="2508" w:type="dxa"/>
            <w:vMerge w:val="restart"/>
            <w:shd w:val="clear" w:color="auto" w:fill="F2F2F2" w:themeFill="background1" w:themeFillShade="F2"/>
            <w:vAlign w:val="center"/>
          </w:tcPr>
          <w:p w14:paraId="67093675" w14:textId="77777777" w:rsidR="006319F6" w:rsidRPr="007C3B77" w:rsidRDefault="006319F6" w:rsidP="006319F6">
            <w:pPr>
              <w:pStyle w:val="AralkYok"/>
              <w:jc w:val="right"/>
              <w:rPr>
                <w:rFonts w:ascii="Cambria" w:hAnsi="Cambria"/>
                <w:b/>
                <w:bCs/>
                <w:color w:val="002060"/>
                <w:sz w:val="24"/>
                <w:szCs w:val="24"/>
              </w:rPr>
            </w:pPr>
            <w:r w:rsidRPr="007C3B77">
              <w:rPr>
                <w:rFonts w:ascii="Cambria" w:hAnsi="Cambria"/>
                <w:b/>
                <w:bCs/>
                <w:color w:val="002060"/>
                <w:sz w:val="24"/>
                <w:szCs w:val="24"/>
              </w:rPr>
              <w:t>Doküman Türü</w:t>
            </w:r>
          </w:p>
        </w:tc>
        <w:sdt>
          <w:sdtPr>
            <w:rPr>
              <w:rFonts w:ascii="Cambria" w:hAnsi="Cambria"/>
              <w:b/>
              <w:bCs/>
              <w:sz w:val="24"/>
              <w:szCs w:val="24"/>
            </w:rPr>
            <w:id w:val="-1119378844"/>
            <w14:checkbox>
              <w14:checked w14:val="0"/>
              <w14:checkedState w14:val="2612" w14:font="MS Gothic"/>
              <w14:uncheckedState w14:val="2610" w14:font="MS Gothic"/>
            </w14:checkbox>
          </w:sdtPr>
          <w:sdtContent>
            <w:tc>
              <w:tcPr>
                <w:tcW w:w="457" w:type="dxa"/>
                <w:tcBorders>
                  <w:bottom w:val="nil"/>
                  <w:right w:val="nil"/>
                </w:tcBorders>
                <w:vAlign w:val="center"/>
              </w:tcPr>
              <w:p w14:paraId="677B0EA7" w14:textId="77777777" w:rsidR="006319F6" w:rsidRPr="007C3B77" w:rsidRDefault="006319F6" w:rsidP="006319F6">
                <w:pPr>
                  <w:pStyle w:val="AralkYok"/>
                  <w:rPr>
                    <w:rFonts w:ascii="Cambria" w:hAnsi="Cambria"/>
                    <w:b/>
                    <w:bCs/>
                    <w:sz w:val="24"/>
                    <w:szCs w:val="24"/>
                  </w:rPr>
                </w:pPr>
                <w:r w:rsidRPr="007C3B77">
                  <w:rPr>
                    <w:rFonts w:ascii="Segoe UI Symbol" w:eastAsia="MS Gothic" w:hAnsi="Segoe UI Symbol" w:cs="Segoe UI Symbol"/>
                    <w:b/>
                    <w:bCs/>
                    <w:sz w:val="24"/>
                    <w:szCs w:val="24"/>
                  </w:rPr>
                  <w:t>☐</w:t>
                </w:r>
              </w:p>
            </w:tc>
          </w:sdtContent>
        </w:sdt>
        <w:tc>
          <w:tcPr>
            <w:tcW w:w="2532" w:type="dxa"/>
            <w:tcBorders>
              <w:left w:val="nil"/>
              <w:bottom w:val="nil"/>
              <w:right w:val="nil"/>
            </w:tcBorders>
            <w:vAlign w:val="center"/>
          </w:tcPr>
          <w:p w14:paraId="76EE08F0" w14:textId="77777777" w:rsidR="006319F6" w:rsidRPr="007C3B77" w:rsidRDefault="006319F6" w:rsidP="006319F6">
            <w:pPr>
              <w:pStyle w:val="AralkYok"/>
              <w:rPr>
                <w:rFonts w:ascii="Cambria" w:hAnsi="Cambria"/>
                <w:b/>
                <w:bCs/>
                <w:sz w:val="24"/>
                <w:szCs w:val="24"/>
              </w:rPr>
            </w:pPr>
            <w:r w:rsidRPr="007C3B77">
              <w:rPr>
                <w:rFonts w:ascii="Cambria" w:hAnsi="Cambria"/>
                <w:b/>
                <w:bCs/>
                <w:sz w:val="24"/>
                <w:szCs w:val="24"/>
              </w:rPr>
              <w:t>Kanun</w:t>
            </w:r>
          </w:p>
        </w:tc>
        <w:sdt>
          <w:sdtPr>
            <w:rPr>
              <w:rFonts w:ascii="Cambria" w:hAnsi="Cambria"/>
              <w:b/>
              <w:bCs/>
              <w:sz w:val="24"/>
              <w:szCs w:val="24"/>
            </w:rPr>
            <w:id w:val="870265277"/>
            <w14:checkbox>
              <w14:checked w14:val="0"/>
              <w14:checkedState w14:val="2612" w14:font="MS Gothic"/>
              <w14:uncheckedState w14:val="2610" w14:font="MS Gothic"/>
            </w14:checkbox>
          </w:sdtPr>
          <w:sdtContent>
            <w:tc>
              <w:tcPr>
                <w:tcW w:w="437" w:type="dxa"/>
                <w:tcBorders>
                  <w:left w:val="nil"/>
                  <w:bottom w:val="nil"/>
                  <w:right w:val="nil"/>
                </w:tcBorders>
                <w:vAlign w:val="center"/>
              </w:tcPr>
              <w:p w14:paraId="24D9CB16" w14:textId="77777777" w:rsidR="006319F6" w:rsidRPr="007C3B77" w:rsidRDefault="006319F6" w:rsidP="006319F6">
                <w:pPr>
                  <w:pStyle w:val="AralkYok"/>
                  <w:rPr>
                    <w:rFonts w:ascii="Cambria" w:hAnsi="Cambria"/>
                    <w:b/>
                    <w:bCs/>
                    <w:sz w:val="24"/>
                    <w:szCs w:val="24"/>
                  </w:rPr>
                </w:pPr>
                <w:r w:rsidRPr="007C3B77">
                  <w:rPr>
                    <w:rFonts w:ascii="Segoe UI Symbol" w:eastAsia="MS Gothic" w:hAnsi="Segoe UI Symbol" w:cs="Segoe UI Symbol"/>
                    <w:b/>
                    <w:bCs/>
                    <w:sz w:val="24"/>
                    <w:szCs w:val="24"/>
                  </w:rPr>
                  <w:t>☐</w:t>
                </w:r>
              </w:p>
            </w:tc>
          </w:sdtContent>
        </w:sdt>
        <w:tc>
          <w:tcPr>
            <w:tcW w:w="2519" w:type="dxa"/>
            <w:tcBorders>
              <w:left w:val="nil"/>
              <w:bottom w:val="nil"/>
              <w:right w:val="nil"/>
            </w:tcBorders>
            <w:vAlign w:val="center"/>
          </w:tcPr>
          <w:p w14:paraId="5250D40C" w14:textId="77777777" w:rsidR="006319F6" w:rsidRPr="007C3B77" w:rsidRDefault="006319F6" w:rsidP="006319F6">
            <w:pPr>
              <w:pStyle w:val="AralkYok"/>
              <w:rPr>
                <w:rFonts w:ascii="Cambria" w:hAnsi="Cambria"/>
                <w:b/>
                <w:bCs/>
                <w:sz w:val="24"/>
                <w:szCs w:val="24"/>
              </w:rPr>
            </w:pPr>
            <w:r w:rsidRPr="007C3B77">
              <w:rPr>
                <w:rFonts w:ascii="Cambria" w:hAnsi="Cambria"/>
                <w:b/>
                <w:bCs/>
                <w:sz w:val="24"/>
                <w:szCs w:val="24"/>
              </w:rPr>
              <w:t>CB Kararnamesi</w:t>
            </w:r>
          </w:p>
        </w:tc>
        <w:sdt>
          <w:sdtPr>
            <w:rPr>
              <w:rFonts w:ascii="Cambria" w:hAnsi="Cambria"/>
              <w:b/>
              <w:bCs/>
              <w:sz w:val="24"/>
              <w:szCs w:val="24"/>
            </w:rPr>
            <w:id w:val="-2104552926"/>
            <w14:checkbox>
              <w14:checked w14:val="0"/>
              <w14:checkedState w14:val="2612" w14:font="MS Gothic"/>
              <w14:uncheckedState w14:val="2610" w14:font="MS Gothic"/>
            </w14:checkbox>
          </w:sdtPr>
          <w:sdtContent>
            <w:tc>
              <w:tcPr>
                <w:tcW w:w="437" w:type="dxa"/>
                <w:tcBorders>
                  <w:left w:val="nil"/>
                  <w:bottom w:val="nil"/>
                  <w:right w:val="nil"/>
                </w:tcBorders>
                <w:vAlign w:val="center"/>
              </w:tcPr>
              <w:p w14:paraId="01E3AE06" w14:textId="77777777" w:rsidR="006319F6" w:rsidRPr="007C3B77" w:rsidRDefault="006319F6" w:rsidP="006319F6">
                <w:pPr>
                  <w:pStyle w:val="AralkYok"/>
                  <w:rPr>
                    <w:rFonts w:ascii="Cambria" w:hAnsi="Cambria"/>
                    <w:b/>
                    <w:bCs/>
                    <w:sz w:val="24"/>
                    <w:szCs w:val="24"/>
                  </w:rPr>
                </w:pPr>
                <w:r w:rsidRPr="007C3B77">
                  <w:rPr>
                    <w:rFonts w:ascii="Segoe UI Symbol" w:eastAsia="MS Gothic" w:hAnsi="Segoe UI Symbol" w:cs="Segoe UI Symbol"/>
                    <w:b/>
                    <w:bCs/>
                    <w:sz w:val="24"/>
                    <w:szCs w:val="24"/>
                  </w:rPr>
                  <w:t>☐</w:t>
                </w:r>
              </w:p>
            </w:tc>
          </w:sdtContent>
        </w:sdt>
        <w:tc>
          <w:tcPr>
            <w:tcW w:w="2584" w:type="dxa"/>
            <w:tcBorders>
              <w:left w:val="nil"/>
              <w:bottom w:val="nil"/>
              <w:right w:val="nil"/>
            </w:tcBorders>
            <w:vAlign w:val="center"/>
          </w:tcPr>
          <w:p w14:paraId="1697D19B" w14:textId="77777777" w:rsidR="006319F6" w:rsidRPr="007C3B77" w:rsidRDefault="006319F6" w:rsidP="006319F6">
            <w:pPr>
              <w:pStyle w:val="AralkYok"/>
              <w:rPr>
                <w:rFonts w:ascii="Cambria" w:hAnsi="Cambria"/>
                <w:b/>
                <w:bCs/>
                <w:sz w:val="24"/>
                <w:szCs w:val="24"/>
              </w:rPr>
            </w:pPr>
            <w:r w:rsidRPr="007C3B77">
              <w:rPr>
                <w:rFonts w:ascii="Cambria" w:hAnsi="Cambria"/>
                <w:b/>
                <w:bCs/>
                <w:sz w:val="24"/>
                <w:szCs w:val="24"/>
              </w:rPr>
              <w:t>CB Kararı</w:t>
            </w:r>
          </w:p>
        </w:tc>
        <w:sdt>
          <w:sdtPr>
            <w:rPr>
              <w:rFonts w:ascii="Cambria" w:hAnsi="Cambria"/>
              <w:b/>
              <w:bCs/>
              <w:sz w:val="24"/>
              <w:szCs w:val="24"/>
            </w:rPr>
            <w:id w:val="-394358255"/>
            <w14:checkbox>
              <w14:checked w14:val="0"/>
              <w14:checkedState w14:val="2612" w14:font="MS Gothic"/>
              <w14:uncheckedState w14:val="2610" w14:font="MS Gothic"/>
            </w14:checkbox>
          </w:sdtPr>
          <w:sdtContent>
            <w:tc>
              <w:tcPr>
                <w:tcW w:w="437" w:type="dxa"/>
                <w:tcBorders>
                  <w:left w:val="nil"/>
                  <w:bottom w:val="nil"/>
                  <w:right w:val="nil"/>
                </w:tcBorders>
                <w:vAlign w:val="center"/>
              </w:tcPr>
              <w:p w14:paraId="5950EE57" w14:textId="77777777" w:rsidR="006319F6" w:rsidRPr="007C3B77" w:rsidRDefault="006319F6" w:rsidP="006319F6">
                <w:pPr>
                  <w:pStyle w:val="AralkYok"/>
                  <w:rPr>
                    <w:rFonts w:ascii="Cambria" w:hAnsi="Cambria"/>
                    <w:b/>
                    <w:bCs/>
                    <w:sz w:val="24"/>
                    <w:szCs w:val="24"/>
                  </w:rPr>
                </w:pPr>
                <w:r w:rsidRPr="007C3B77">
                  <w:rPr>
                    <w:rFonts w:ascii="Segoe UI Symbol" w:eastAsia="MS Gothic" w:hAnsi="Segoe UI Symbol" w:cs="Segoe UI Symbol"/>
                    <w:b/>
                    <w:bCs/>
                    <w:sz w:val="24"/>
                    <w:szCs w:val="24"/>
                  </w:rPr>
                  <w:t>☐</w:t>
                </w:r>
              </w:p>
            </w:tc>
          </w:sdtContent>
        </w:sdt>
        <w:tc>
          <w:tcPr>
            <w:tcW w:w="2649" w:type="dxa"/>
            <w:tcBorders>
              <w:left w:val="nil"/>
              <w:bottom w:val="nil"/>
            </w:tcBorders>
            <w:vAlign w:val="center"/>
          </w:tcPr>
          <w:p w14:paraId="10D477F2" w14:textId="77777777" w:rsidR="006319F6" w:rsidRPr="007C3B77" w:rsidRDefault="006319F6" w:rsidP="006319F6">
            <w:pPr>
              <w:pStyle w:val="AralkYok"/>
              <w:rPr>
                <w:rFonts w:ascii="Cambria" w:hAnsi="Cambria"/>
                <w:b/>
                <w:bCs/>
                <w:sz w:val="24"/>
                <w:szCs w:val="24"/>
              </w:rPr>
            </w:pPr>
            <w:r w:rsidRPr="007C3B77">
              <w:rPr>
                <w:rFonts w:ascii="Cambria" w:hAnsi="Cambria"/>
                <w:b/>
                <w:bCs/>
                <w:sz w:val="24"/>
                <w:szCs w:val="24"/>
              </w:rPr>
              <w:t>Tebliğ</w:t>
            </w:r>
          </w:p>
        </w:tc>
      </w:tr>
      <w:tr w:rsidR="006319F6" w:rsidRPr="007C3B77" w14:paraId="752461DC" w14:textId="77777777" w:rsidTr="006319F6">
        <w:tc>
          <w:tcPr>
            <w:tcW w:w="2508" w:type="dxa"/>
            <w:vMerge/>
            <w:shd w:val="clear" w:color="auto" w:fill="F2F2F2" w:themeFill="background1" w:themeFillShade="F2"/>
            <w:vAlign w:val="center"/>
          </w:tcPr>
          <w:p w14:paraId="1A984AE2" w14:textId="77777777" w:rsidR="006319F6" w:rsidRPr="007C3B77" w:rsidRDefault="006319F6" w:rsidP="004232E9">
            <w:pPr>
              <w:pStyle w:val="AralkYok"/>
              <w:jc w:val="right"/>
              <w:rPr>
                <w:rFonts w:ascii="Cambria" w:hAnsi="Cambria"/>
                <w:b/>
                <w:bCs/>
                <w:color w:val="002060"/>
                <w:sz w:val="24"/>
                <w:szCs w:val="24"/>
              </w:rPr>
            </w:pPr>
          </w:p>
        </w:tc>
        <w:sdt>
          <w:sdtPr>
            <w:rPr>
              <w:rFonts w:ascii="Cambria" w:hAnsi="Cambria"/>
              <w:b/>
              <w:bCs/>
              <w:sz w:val="24"/>
              <w:szCs w:val="24"/>
            </w:rPr>
            <w:id w:val="-1395648614"/>
            <w14:checkbox>
              <w14:checked w14:val="1"/>
              <w14:checkedState w14:val="2612" w14:font="MS Gothic"/>
              <w14:uncheckedState w14:val="2610" w14:font="MS Gothic"/>
            </w14:checkbox>
          </w:sdtPr>
          <w:sdtContent>
            <w:tc>
              <w:tcPr>
                <w:tcW w:w="457" w:type="dxa"/>
                <w:tcBorders>
                  <w:top w:val="nil"/>
                  <w:right w:val="nil"/>
                </w:tcBorders>
                <w:vAlign w:val="center"/>
              </w:tcPr>
              <w:p w14:paraId="5F7D8D5A" w14:textId="77777777" w:rsidR="006319F6" w:rsidRPr="007C3B77" w:rsidRDefault="007C3B77" w:rsidP="005B0C52">
                <w:pPr>
                  <w:pStyle w:val="AralkYok"/>
                  <w:rPr>
                    <w:rFonts w:ascii="Cambria" w:hAnsi="Cambria"/>
                    <w:b/>
                    <w:bCs/>
                    <w:sz w:val="24"/>
                    <w:szCs w:val="24"/>
                  </w:rPr>
                </w:pPr>
                <w:r w:rsidRPr="007C3B77">
                  <w:rPr>
                    <w:rFonts w:ascii="Segoe UI Symbol" w:eastAsia="MS Gothic" w:hAnsi="Segoe UI Symbol" w:cs="Segoe UI Symbol"/>
                    <w:b/>
                    <w:bCs/>
                    <w:sz w:val="24"/>
                    <w:szCs w:val="24"/>
                  </w:rPr>
                  <w:t>☒</w:t>
                </w:r>
              </w:p>
            </w:tc>
          </w:sdtContent>
        </w:sdt>
        <w:tc>
          <w:tcPr>
            <w:tcW w:w="2532" w:type="dxa"/>
            <w:tcBorders>
              <w:top w:val="nil"/>
              <w:left w:val="nil"/>
              <w:right w:val="nil"/>
            </w:tcBorders>
            <w:vAlign w:val="center"/>
          </w:tcPr>
          <w:p w14:paraId="6EA499F2" w14:textId="77777777" w:rsidR="006319F6" w:rsidRPr="007C3B77" w:rsidRDefault="006319F6" w:rsidP="005B0C52">
            <w:pPr>
              <w:pStyle w:val="AralkYok"/>
              <w:rPr>
                <w:rFonts w:ascii="Cambria" w:hAnsi="Cambria"/>
                <w:b/>
                <w:bCs/>
                <w:sz w:val="24"/>
                <w:szCs w:val="24"/>
              </w:rPr>
            </w:pPr>
            <w:r w:rsidRPr="007C3B77">
              <w:rPr>
                <w:rFonts w:ascii="Cambria" w:hAnsi="Cambria"/>
                <w:b/>
                <w:bCs/>
                <w:sz w:val="24"/>
                <w:szCs w:val="24"/>
              </w:rPr>
              <w:t>Yönetmelik</w:t>
            </w:r>
          </w:p>
        </w:tc>
        <w:sdt>
          <w:sdtPr>
            <w:rPr>
              <w:rFonts w:ascii="Cambria" w:hAnsi="Cambria"/>
              <w:b/>
              <w:bCs/>
              <w:sz w:val="24"/>
              <w:szCs w:val="24"/>
            </w:rPr>
            <w:id w:val="-1240561184"/>
            <w14:checkbox>
              <w14:checked w14:val="0"/>
              <w14:checkedState w14:val="2612" w14:font="MS Gothic"/>
              <w14:uncheckedState w14:val="2610" w14:font="MS Gothic"/>
            </w14:checkbox>
          </w:sdtPr>
          <w:sdtContent>
            <w:tc>
              <w:tcPr>
                <w:tcW w:w="437" w:type="dxa"/>
                <w:tcBorders>
                  <w:top w:val="nil"/>
                  <w:left w:val="nil"/>
                  <w:right w:val="nil"/>
                </w:tcBorders>
                <w:vAlign w:val="center"/>
              </w:tcPr>
              <w:p w14:paraId="3BB2DA77" w14:textId="77777777" w:rsidR="006319F6" w:rsidRPr="007C3B77" w:rsidRDefault="006319F6" w:rsidP="005B0C52">
                <w:pPr>
                  <w:pStyle w:val="AralkYok"/>
                  <w:rPr>
                    <w:rFonts w:ascii="Cambria" w:hAnsi="Cambria"/>
                    <w:b/>
                    <w:bCs/>
                    <w:sz w:val="24"/>
                    <w:szCs w:val="24"/>
                  </w:rPr>
                </w:pPr>
                <w:r w:rsidRPr="007C3B77">
                  <w:rPr>
                    <w:rFonts w:ascii="Segoe UI Symbol" w:eastAsia="MS Gothic" w:hAnsi="Segoe UI Symbol" w:cs="Segoe UI Symbol"/>
                    <w:b/>
                    <w:bCs/>
                    <w:sz w:val="24"/>
                    <w:szCs w:val="24"/>
                  </w:rPr>
                  <w:t>☐</w:t>
                </w:r>
              </w:p>
            </w:tc>
          </w:sdtContent>
        </w:sdt>
        <w:tc>
          <w:tcPr>
            <w:tcW w:w="2519" w:type="dxa"/>
            <w:tcBorders>
              <w:top w:val="nil"/>
              <w:left w:val="nil"/>
              <w:right w:val="nil"/>
            </w:tcBorders>
            <w:vAlign w:val="center"/>
          </w:tcPr>
          <w:p w14:paraId="5773E351" w14:textId="77777777" w:rsidR="006319F6" w:rsidRPr="007C3B77" w:rsidRDefault="006319F6" w:rsidP="005B0C52">
            <w:pPr>
              <w:pStyle w:val="AralkYok"/>
              <w:rPr>
                <w:rFonts w:ascii="Cambria" w:hAnsi="Cambria"/>
                <w:b/>
                <w:bCs/>
                <w:sz w:val="24"/>
                <w:szCs w:val="24"/>
              </w:rPr>
            </w:pPr>
            <w:r w:rsidRPr="007C3B77">
              <w:rPr>
                <w:rFonts w:ascii="Cambria" w:hAnsi="Cambria"/>
                <w:b/>
                <w:bCs/>
                <w:sz w:val="24"/>
                <w:szCs w:val="24"/>
              </w:rPr>
              <w:t>Yönerge</w:t>
            </w:r>
          </w:p>
        </w:tc>
        <w:sdt>
          <w:sdtPr>
            <w:rPr>
              <w:rFonts w:ascii="Cambria" w:hAnsi="Cambria"/>
              <w:b/>
              <w:bCs/>
              <w:sz w:val="24"/>
              <w:szCs w:val="24"/>
            </w:rPr>
            <w:id w:val="-1004193508"/>
            <w14:checkbox>
              <w14:checked w14:val="0"/>
              <w14:checkedState w14:val="2612" w14:font="MS Gothic"/>
              <w14:uncheckedState w14:val="2610" w14:font="MS Gothic"/>
            </w14:checkbox>
          </w:sdtPr>
          <w:sdtContent>
            <w:tc>
              <w:tcPr>
                <w:tcW w:w="437" w:type="dxa"/>
                <w:tcBorders>
                  <w:top w:val="nil"/>
                  <w:left w:val="nil"/>
                  <w:right w:val="nil"/>
                </w:tcBorders>
                <w:vAlign w:val="center"/>
              </w:tcPr>
              <w:p w14:paraId="13E47D56" w14:textId="77777777" w:rsidR="006319F6" w:rsidRPr="007C3B77" w:rsidRDefault="006319F6" w:rsidP="005B0C52">
                <w:pPr>
                  <w:pStyle w:val="AralkYok"/>
                  <w:rPr>
                    <w:rFonts w:ascii="Cambria" w:hAnsi="Cambria"/>
                    <w:b/>
                    <w:bCs/>
                    <w:sz w:val="24"/>
                    <w:szCs w:val="24"/>
                  </w:rPr>
                </w:pPr>
                <w:r w:rsidRPr="007C3B77">
                  <w:rPr>
                    <w:rFonts w:ascii="Segoe UI Symbol" w:eastAsia="MS Gothic" w:hAnsi="Segoe UI Symbol" w:cs="Segoe UI Symbol"/>
                    <w:b/>
                    <w:bCs/>
                    <w:sz w:val="24"/>
                    <w:szCs w:val="24"/>
                  </w:rPr>
                  <w:t>☐</w:t>
                </w:r>
              </w:p>
            </w:tc>
          </w:sdtContent>
        </w:sdt>
        <w:tc>
          <w:tcPr>
            <w:tcW w:w="2584" w:type="dxa"/>
            <w:tcBorders>
              <w:top w:val="nil"/>
              <w:left w:val="nil"/>
              <w:right w:val="nil"/>
            </w:tcBorders>
            <w:vAlign w:val="center"/>
          </w:tcPr>
          <w:p w14:paraId="3FA8F6BA" w14:textId="77777777" w:rsidR="006319F6" w:rsidRPr="007C3B77" w:rsidRDefault="006319F6" w:rsidP="005B0C52">
            <w:pPr>
              <w:pStyle w:val="AralkYok"/>
              <w:rPr>
                <w:rFonts w:ascii="Cambria" w:hAnsi="Cambria"/>
                <w:b/>
                <w:bCs/>
                <w:sz w:val="24"/>
                <w:szCs w:val="24"/>
              </w:rPr>
            </w:pPr>
            <w:r w:rsidRPr="007C3B77">
              <w:rPr>
                <w:rFonts w:ascii="Cambria" w:hAnsi="Cambria"/>
                <w:b/>
                <w:bCs/>
                <w:sz w:val="24"/>
                <w:szCs w:val="24"/>
              </w:rPr>
              <w:t>Esas ve Usul</w:t>
            </w:r>
          </w:p>
        </w:tc>
        <w:sdt>
          <w:sdtPr>
            <w:rPr>
              <w:rFonts w:ascii="Cambria" w:hAnsi="Cambria"/>
              <w:b/>
              <w:bCs/>
              <w:sz w:val="24"/>
              <w:szCs w:val="24"/>
            </w:rPr>
            <w:id w:val="1151792901"/>
            <w14:checkbox>
              <w14:checked w14:val="0"/>
              <w14:checkedState w14:val="2612" w14:font="MS Gothic"/>
              <w14:uncheckedState w14:val="2610" w14:font="MS Gothic"/>
            </w14:checkbox>
          </w:sdtPr>
          <w:sdtContent>
            <w:tc>
              <w:tcPr>
                <w:tcW w:w="437" w:type="dxa"/>
                <w:tcBorders>
                  <w:top w:val="nil"/>
                  <w:left w:val="nil"/>
                  <w:right w:val="nil"/>
                </w:tcBorders>
                <w:vAlign w:val="center"/>
              </w:tcPr>
              <w:p w14:paraId="500E1709" w14:textId="77777777" w:rsidR="006319F6" w:rsidRPr="007C3B77" w:rsidRDefault="006319F6" w:rsidP="005B0C52">
                <w:pPr>
                  <w:pStyle w:val="AralkYok"/>
                  <w:rPr>
                    <w:rFonts w:ascii="Cambria" w:hAnsi="Cambria"/>
                    <w:b/>
                    <w:bCs/>
                    <w:sz w:val="24"/>
                    <w:szCs w:val="24"/>
                  </w:rPr>
                </w:pPr>
                <w:r w:rsidRPr="007C3B77">
                  <w:rPr>
                    <w:rFonts w:ascii="Segoe UI Symbol" w:eastAsia="MS Gothic" w:hAnsi="Segoe UI Symbol" w:cs="Segoe UI Symbol"/>
                    <w:b/>
                    <w:bCs/>
                    <w:sz w:val="24"/>
                    <w:szCs w:val="24"/>
                  </w:rPr>
                  <w:t>☐</w:t>
                </w:r>
              </w:p>
            </w:tc>
          </w:sdtContent>
        </w:sdt>
        <w:tc>
          <w:tcPr>
            <w:tcW w:w="2649" w:type="dxa"/>
            <w:tcBorders>
              <w:top w:val="nil"/>
              <w:left w:val="nil"/>
            </w:tcBorders>
            <w:vAlign w:val="center"/>
          </w:tcPr>
          <w:p w14:paraId="47968976" w14:textId="77777777" w:rsidR="006319F6" w:rsidRPr="007C3B77" w:rsidRDefault="006319F6" w:rsidP="005B0C52">
            <w:pPr>
              <w:pStyle w:val="AralkYok"/>
              <w:rPr>
                <w:rFonts w:ascii="Cambria" w:hAnsi="Cambria"/>
                <w:b/>
                <w:bCs/>
                <w:sz w:val="24"/>
                <w:szCs w:val="24"/>
              </w:rPr>
            </w:pPr>
            <w:r w:rsidRPr="007C3B77">
              <w:rPr>
                <w:rFonts w:ascii="Cambria" w:hAnsi="Cambria"/>
                <w:b/>
                <w:bCs/>
                <w:sz w:val="24"/>
                <w:szCs w:val="24"/>
              </w:rPr>
              <w:t>Sözleşme/Protokol</w:t>
            </w:r>
          </w:p>
        </w:tc>
      </w:tr>
      <w:tr w:rsidR="009A0B72" w:rsidRPr="007C3B77" w14:paraId="7BFA4E8C" w14:textId="77777777" w:rsidTr="006319F6">
        <w:tc>
          <w:tcPr>
            <w:tcW w:w="2508" w:type="dxa"/>
            <w:shd w:val="clear" w:color="auto" w:fill="F2F2F2" w:themeFill="background1" w:themeFillShade="F2"/>
            <w:vAlign w:val="center"/>
          </w:tcPr>
          <w:p w14:paraId="0FCB27A4" w14:textId="77777777" w:rsidR="009A0B72" w:rsidRPr="007C3B77" w:rsidRDefault="009A0B72" w:rsidP="009A0B72">
            <w:pPr>
              <w:pStyle w:val="AralkYok"/>
              <w:jc w:val="right"/>
              <w:rPr>
                <w:rFonts w:ascii="Cambria" w:hAnsi="Cambria"/>
                <w:b/>
                <w:bCs/>
                <w:color w:val="002060"/>
                <w:sz w:val="24"/>
                <w:szCs w:val="24"/>
              </w:rPr>
            </w:pPr>
            <w:r w:rsidRPr="007C3B77">
              <w:rPr>
                <w:rFonts w:ascii="Cambria" w:hAnsi="Cambria"/>
                <w:b/>
                <w:bCs/>
                <w:color w:val="002060"/>
                <w:sz w:val="24"/>
                <w:szCs w:val="24"/>
              </w:rPr>
              <w:t>Doküman Adı</w:t>
            </w:r>
          </w:p>
        </w:tc>
        <w:tc>
          <w:tcPr>
            <w:tcW w:w="12052" w:type="dxa"/>
            <w:gridSpan w:val="8"/>
            <w:vAlign w:val="center"/>
          </w:tcPr>
          <w:p w14:paraId="7FBC75A6" w14:textId="41AE27DA" w:rsidR="009A0B72" w:rsidRPr="007C3B77" w:rsidRDefault="007C3B77" w:rsidP="005B0C52">
            <w:pPr>
              <w:pStyle w:val="AralkYok"/>
              <w:rPr>
                <w:rFonts w:ascii="Cambria" w:hAnsi="Cambria"/>
                <w:b/>
                <w:bCs/>
                <w:color w:val="002060"/>
                <w:sz w:val="24"/>
                <w:szCs w:val="24"/>
              </w:rPr>
            </w:pPr>
            <w:r>
              <w:rPr>
                <w:rFonts w:ascii="Cambria" w:hAnsi="Cambria"/>
                <w:b/>
                <w:bCs/>
                <w:color w:val="002060"/>
                <w:sz w:val="24"/>
                <w:szCs w:val="24"/>
              </w:rPr>
              <w:t xml:space="preserve">Yükseköğretim Kurumlarında Önlisans ve Lisans Düzeyindeki Programlar Arasında Geçiş, Çift Anadal, </w:t>
            </w:r>
            <w:proofErr w:type="spellStart"/>
            <w:r>
              <w:rPr>
                <w:rFonts w:ascii="Cambria" w:hAnsi="Cambria"/>
                <w:b/>
                <w:bCs/>
                <w:color w:val="002060"/>
                <w:sz w:val="24"/>
                <w:szCs w:val="24"/>
              </w:rPr>
              <w:t>Yandal</w:t>
            </w:r>
            <w:proofErr w:type="spellEnd"/>
            <w:r>
              <w:rPr>
                <w:rFonts w:ascii="Cambria" w:hAnsi="Cambria"/>
                <w:b/>
                <w:bCs/>
                <w:color w:val="002060"/>
                <w:sz w:val="24"/>
                <w:szCs w:val="24"/>
              </w:rPr>
              <w:t xml:space="preserve"> </w:t>
            </w:r>
            <w:proofErr w:type="gramStart"/>
            <w:r>
              <w:rPr>
                <w:rFonts w:ascii="Cambria" w:hAnsi="Cambria"/>
                <w:b/>
                <w:bCs/>
                <w:color w:val="002060"/>
                <w:sz w:val="24"/>
                <w:szCs w:val="24"/>
              </w:rPr>
              <w:t>İle</w:t>
            </w:r>
            <w:proofErr w:type="gramEnd"/>
            <w:r>
              <w:rPr>
                <w:rFonts w:ascii="Cambria" w:hAnsi="Cambria"/>
                <w:b/>
                <w:bCs/>
                <w:color w:val="002060"/>
                <w:sz w:val="24"/>
                <w:szCs w:val="24"/>
              </w:rPr>
              <w:t xml:space="preserve"> Kurumlar Arası Kredi Transferi Yapılması Esaslarına İlişkin Yönetmelik</w:t>
            </w:r>
          </w:p>
        </w:tc>
      </w:tr>
    </w:tbl>
    <w:p w14:paraId="4CA44AC4" w14:textId="77777777" w:rsidR="00BE3E80" w:rsidRPr="007C3B77" w:rsidRDefault="00BE3E80" w:rsidP="005B0C52">
      <w:pPr>
        <w:pStyle w:val="AralkYok"/>
        <w:rPr>
          <w:rFonts w:ascii="Cambria" w:hAnsi="Cambria"/>
          <w:b/>
          <w:bCs/>
          <w:color w:val="002060"/>
          <w:sz w:val="24"/>
          <w:szCs w:val="24"/>
        </w:rPr>
      </w:pPr>
    </w:p>
    <w:tbl>
      <w:tblPr>
        <w:tblStyle w:val="TabloKlavuzuAk"/>
        <w:tblW w:w="0" w:type="auto"/>
        <w:tblLook w:val="04A0" w:firstRow="1" w:lastRow="0" w:firstColumn="1" w:lastColumn="0" w:noHBand="0" w:noVBand="1"/>
      </w:tblPr>
      <w:tblGrid>
        <w:gridCol w:w="7280"/>
        <w:gridCol w:w="7280"/>
      </w:tblGrid>
      <w:tr w:rsidR="009A0B72" w:rsidRPr="007C3B77" w14:paraId="1E2369C6" w14:textId="77777777" w:rsidTr="009A0B72">
        <w:tc>
          <w:tcPr>
            <w:tcW w:w="7280" w:type="dxa"/>
            <w:shd w:val="clear" w:color="auto" w:fill="F2F2F2" w:themeFill="background1" w:themeFillShade="F2"/>
          </w:tcPr>
          <w:p w14:paraId="55D52F6C" w14:textId="77777777" w:rsidR="009A0B72" w:rsidRPr="007C3B77" w:rsidRDefault="009A0B72" w:rsidP="009A0B72">
            <w:pPr>
              <w:pStyle w:val="AralkYok"/>
              <w:jc w:val="center"/>
              <w:rPr>
                <w:rFonts w:ascii="Cambria" w:hAnsi="Cambria"/>
                <w:b/>
                <w:bCs/>
                <w:color w:val="002060"/>
                <w:sz w:val="24"/>
                <w:szCs w:val="24"/>
              </w:rPr>
            </w:pPr>
            <w:r w:rsidRPr="007C3B77">
              <w:rPr>
                <w:rFonts w:ascii="Cambria" w:hAnsi="Cambria"/>
                <w:b/>
                <w:bCs/>
                <w:color w:val="002060"/>
                <w:sz w:val="24"/>
                <w:szCs w:val="24"/>
              </w:rPr>
              <w:t>ESKİ ŞEKLİ</w:t>
            </w:r>
          </w:p>
        </w:tc>
        <w:tc>
          <w:tcPr>
            <w:tcW w:w="7280" w:type="dxa"/>
            <w:shd w:val="clear" w:color="auto" w:fill="F2F2F2" w:themeFill="background1" w:themeFillShade="F2"/>
          </w:tcPr>
          <w:p w14:paraId="6E89237D" w14:textId="77777777" w:rsidR="009A0B72" w:rsidRPr="007C3B77" w:rsidRDefault="009A0B72" w:rsidP="009A0B72">
            <w:pPr>
              <w:pStyle w:val="AralkYok"/>
              <w:jc w:val="center"/>
              <w:rPr>
                <w:rFonts w:ascii="Cambria" w:hAnsi="Cambria"/>
                <w:b/>
                <w:bCs/>
                <w:color w:val="002060"/>
                <w:sz w:val="24"/>
                <w:szCs w:val="24"/>
              </w:rPr>
            </w:pPr>
            <w:r w:rsidRPr="007C3B77">
              <w:rPr>
                <w:rFonts w:ascii="Cambria" w:hAnsi="Cambria"/>
                <w:b/>
                <w:bCs/>
                <w:color w:val="002060"/>
                <w:sz w:val="24"/>
                <w:szCs w:val="24"/>
              </w:rPr>
              <w:t>YENİ ŞEKLİ</w:t>
            </w:r>
          </w:p>
        </w:tc>
      </w:tr>
      <w:tr w:rsidR="009A0B72" w:rsidRPr="007C3B77" w14:paraId="5AE992A1" w14:textId="77777777" w:rsidTr="009A0B72">
        <w:tc>
          <w:tcPr>
            <w:tcW w:w="7280" w:type="dxa"/>
          </w:tcPr>
          <w:p w14:paraId="2A84F7A5" w14:textId="77777777" w:rsidR="007C3B77" w:rsidRPr="007C3B77" w:rsidRDefault="007C3B77" w:rsidP="007C3B77">
            <w:pPr>
              <w:spacing w:after="0" w:line="305" w:lineRule="atLeast"/>
              <w:jc w:val="both"/>
              <w:rPr>
                <w:rFonts w:ascii="Cambria" w:eastAsia="Times New Roman" w:hAnsi="Cambria" w:cs="Times New Roman"/>
                <w:color w:val="000000"/>
                <w:sz w:val="24"/>
                <w:szCs w:val="24"/>
                <w:lang w:eastAsia="tr-TR"/>
              </w:rPr>
            </w:pPr>
            <w:r w:rsidRPr="007C3B77">
              <w:rPr>
                <w:rFonts w:ascii="Cambria" w:eastAsia="Times New Roman" w:hAnsi="Cambria" w:cs="Calibri"/>
                <w:b/>
                <w:bCs/>
                <w:color w:val="000000"/>
                <w:sz w:val="24"/>
                <w:szCs w:val="24"/>
                <w:lang w:eastAsia="tr-TR"/>
              </w:rPr>
              <w:t>Başvuru ve değerlendirme</w:t>
            </w:r>
          </w:p>
          <w:p w14:paraId="4A1D3D9F" w14:textId="72857081" w:rsidR="007C3B77" w:rsidRPr="007C3B77" w:rsidRDefault="007C3B77" w:rsidP="007C3B77">
            <w:pPr>
              <w:spacing w:after="0" w:line="305" w:lineRule="atLeast"/>
              <w:jc w:val="both"/>
              <w:rPr>
                <w:rFonts w:ascii="Cambria" w:eastAsia="Times New Roman" w:hAnsi="Cambria" w:cs="Times New Roman"/>
                <w:color w:val="000000"/>
                <w:sz w:val="24"/>
                <w:szCs w:val="24"/>
                <w:lang w:eastAsia="tr-TR"/>
              </w:rPr>
            </w:pPr>
            <w:r w:rsidRPr="007C3B77">
              <w:rPr>
                <w:rFonts w:ascii="Cambria" w:eastAsia="Times New Roman" w:hAnsi="Cambria" w:cs="Calibri"/>
                <w:b/>
                <w:bCs/>
                <w:color w:val="000000"/>
                <w:sz w:val="24"/>
                <w:szCs w:val="24"/>
                <w:lang w:eastAsia="tr-TR"/>
              </w:rPr>
              <w:t>MADDE 7</w:t>
            </w:r>
            <w:r w:rsidRPr="007C3B77">
              <w:rPr>
                <w:rFonts w:ascii="Cambria" w:eastAsia="Times New Roman" w:hAnsi="Cambria" w:cs="Calibri"/>
                <w:color w:val="000000"/>
                <w:sz w:val="24"/>
                <w:szCs w:val="24"/>
                <w:lang w:eastAsia="tr-TR"/>
              </w:rPr>
              <w:t> – </w:t>
            </w:r>
            <w:r w:rsidRPr="007C3B77">
              <w:rPr>
                <w:rFonts w:ascii="Cambria" w:hAnsi="Cambria"/>
                <w:color w:val="000000"/>
                <w:sz w:val="24"/>
                <w:szCs w:val="24"/>
              </w:rPr>
              <w:t xml:space="preserve">(3) Başvurularla ilgili ön değerlendirmeyi, senatonun belirlemiş olduğu ilkeler çerçevesinde, ilgili yönetim kurulları tarafından oluşturulan komisyonlar yapar. </w:t>
            </w:r>
            <w:r w:rsidRPr="007C3B77">
              <w:rPr>
                <w:rFonts w:ascii="Cambria" w:hAnsi="Cambria"/>
                <w:strike/>
                <w:color w:val="C00000"/>
                <w:sz w:val="24"/>
                <w:szCs w:val="24"/>
              </w:rPr>
              <w:t>Başvurular, adayların genel not ortalaması, farklı puan türlerindeki programlara geçiş için merkezi yerleştirme puanı ve eğer varsa geçmek istediği programın ortak derslerindeki başarısı dikkate alınarak, üniversite senatosu tarafından belirlenmiş olan kriterlere göre değerlendirilir ve ayrılan kontenjana göre geçiş sağlanır</w:t>
            </w:r>
            <w:r w:rsidRPr="007C3B77">
              <w:rPr>
                <w:rFonts w:ascii="Cambria" w:hAnsi="Cambria"/>
                <w:color w:val="000000"/>
                <w:sz w:val="24"/>
                <w:szCs w:val="24"/>
              </w:rPr>
              <w:t>. </w:t>
            </w:r>
          </w:p>
          <w:p w14:paraId="4F9D920B" w14:textId="77777777" w:rsidR="009A0B72" w:rsidRPr="007C3B77" w:rsidRDefault="009A0B72" w:rsidP="009A0B72">
            <w:pPr>
              <w:pStyle w:val="AralkYok"/>
              <w:jc w:val="center"/>
              <w:rPr>
                <w:rFonts w:ascii="Cambria" w:hAnsi="Cambria"/>
                <w:bCs/>
                <w:sz w:val="24"/>
                <w:szCs w:val="24"/>
              </w:rPr>
            </w:pPr>
          </w:p>
        </w:tc>
        <w:tc>
          <w:tcPr>
            <w:tcW w:w="7280" w:type="dxa"/>
          </w:tcPr>
          <w:p w14:paraId="1F319C1C" w14:textId="77777777" w:rsidR="007C3B77" w:rsidRPr="007C3B77" w:rsidRDefault="007C3B77" w:rsidP="007C3B77">
            <w:pPr>
              <w:spacing w:after="0" w:line="305" w:lineRule="atLeast"/>
              <w:jc w:val="both"/>
              <w:rPr>
                <w:rFonts w:ascii="Cambria" w:eastAsia="Times New Roman" w:hAnsi="Cambria" w:cs="Times New Roman"/>
                <w:color w:val="000000"/>
                <w:sz w:val="24"/>
                <w:szCs w:val="24"/>
                <w:lang w:eastAsia="tr-TR"/>
              </w:rPr>
            </w:pPr>
            <w:r w:rsidRPr="007C3B77">
              <w:rPr>
                <w:rFonts w:ascii="Cambria" w:eastAsia="Times New Roman" w:hAnsi="Cambria" w:cs="Calibri"/>
                <w:b/>
                <w:bCs/>
                <w:color w:val="000000"/>
                <w:sz w:val="24"/>
                <w:szCs w:val="24"/>
                <w:lang w:eastAsia="tr-TR"/>
              </w:rPr>
              <w:t>Başvuru ve değerlendirme</w:t>
            </w:r>
          </w:p>
          <w:p w14:paraId="4D3E94DE" w14:textId="43B1435E" w:rsidR="007C3B77" w:rsidRPr="007C3B77" w:rsidRDefault="007C3B77" w:rsidP="007C3B77">
            <w:pPr>
              <w:spacing w:after="0" w:line="305" w:lineRule="atLeast"/>
              <w:jc w:val="both"/>
              <w:rPr>
                <w:rFonts w:ascii="Cambria" w:eastAsia="Times New Roman" w:hAnsi="Cambria" w:cs="Times New Roman"/>
                <w:b/>
                <w:bCs/>
                <w:color w:val="FF0000"/>
                <w:sz w:val="24"/>
                <w:szCs w:val="24"/>
                <w:lang w:eastAsia="tr-TR"/>
              </w:rPr>
            </w:pPr>
            <w:r w:rsidRPr="007C3B77">
              <w:rPr>
                <w:rFonts w:ascii="Cambria" w:eastAsia="Times New Roman" w:hAnsi="Cambria" w:cs="Calibri"/>
                <w:b/>
                <w:bCs/>
                <w:color w:val="000000"/>
                <w:sz w:val="24"/>
                <w:szCs w:val="24"/>
                <w:lang w:eastAsia="tr-TR"/>
              </w:rPr>
              <w:t>MADDE 7</w:t>
            </w:r>
            <w:r w:rsidRPr="007C3B77">
              <w:rPr>
                <w:rFonts w:ascii="Cambria" w:eastAsia="Times New Roman" w:hAnsi="Cambria" w:cs="Calibri"/>
                <w:color w:val="000000"/>
                <w:sz w:val="24"/>
                <w:szCs w:val="24"/>
                <w:lang w:eastAsia="tr-TR"/>
              </w:rPr>
              <w:t> – </w:t>
            </w:r>
            <w:r w:rsidRPr="007C3B77">
              <w:rPr>
                <w:rFonts w:ascii="Cambria" w:hAnsi="Cambria"/>
                <w:color w:val="000000"/>
                <w:sz w:val="24"/>
                <w:szCs w:val="24"/>
              </w:rPr>
              <w:t xml:space="preserve">(3) Başvurularla ilgili ön değerlendirmeyi, senatonun belirlemiş olduğu ilkeler çerçevesinde, ilgili yönetim kurulları tarafından oluşturulan komisyonlar yapar. </w:t>
            </w:r>
            <w:r w:rsidRPr="007C3B77">
              <w:rPr>
                <w:rFonts w:ascii="Cambria" w:hAnsi="Cambria"/>
                <w:b/>
                <w:bCs/>
                <w:color w:val="00B0F0"/>
                <w:sz w:val="24"/>
                <w:szCs w:val="24"/>
              </w:rPr>
              <w:t xml:space="preserve">Başvurular, adayların genel not ortalaması ile programın puan türünde yükseköğretime </w:t>
            </w:r>
            <w:proofErr w:type="gramStart"/>
            <w:r w:rsidRPr="007C3B77">
              <w:rPr>
                <w:rFonts w:ascii="Cambria" w:hAnsi="Cambria"/>
                <w:b/>
                <w:bCs/>
                <w:color w:val="00B0F0"/>
                <w:sz w:val="24"/>
                <w:szCs w:val="24"/>
              </w:rPr>
              <w:t>kayıt</w:t>
            </w:r>
            <w:r w:rsidRPr="007C3B77">
              <w:rPr>
                <w:rFonts w:ascii="Cambria" w:hAnsi="Cambria"/>
                <w:b/>
                <w:bCs/>
                <w:color w:val="00B0F0"/>
                <w:sz w:val="24"/>
                <w:szCs w:val="24"/>
              </w:rPr>
              <w:t xml:space="preserve"> </w:t>
            </w:r>
            <w:r w:rsidRPr="007C3B77">
              <w:rPr>
                <w:rFonts w:ascii="Cambria" w:hAnsi="Cambria"/>
                <w:b/>
                <w:bCs/>
                <w:color w:val="00B0F0"/>
                <w:sz w:val="24"/>
                <w:szCs w:val="24"/>
              </w:rPr>
              <w:t>olduğu</w:t>
            </w:r>
            <w:proofErr w:type="gramEnd"/>
            <w:r w:rsidRPr="007C3B77">
              <w:rPr>
                <w:rFonts w:ascii="Cambria" w:hAnsi="Cambria"/>
                <w:b/>
                <w:bCs/>
                <w:color w:val="00B0F0"/>
                <w:sz w:val="24"/>
                <w:szCs w:val="24"/>
              </w:rPr>
              <w:t xml:space="preserve"> yıldaki ÖSYS/YKS puanının en az %40'ı hesaplamaya </w:t>
            </w:r>
            <w:r w:rsidRPr="007C3B77">
              <w:rPr>
                <w:rStyle w:val="grame"/>
                <w:rFonts w:ascii="Cambria" w:hAnsi="Cambria"/>
                <w:b/>
                <w:bCs/>
                <w:color w:val="00B0F0"/>
                <w:sz w:val="24"/>
                <w:szCs w:val="24"/>
              </w:rPr>
              <w:t>dahil</w:t>
            </w:r>
            <w:r w:rsidRPr="007C3B77">
              <w:rPr>
                <w:rFonts w:ascii="Cambria" w:hAnsi="Cambria"/>
                <w:b/>
                <w:bCs/>
                <w:color w:val="00B0F0"/>
                <w:sz w:val="24"/>
                <w:szCs w:val="24"/>
              </w:rPr>
              <w:t> edilerek senato tarafından belirlenmiş olan kriterlere göre değerlendirilir ve ayrılan kontenjana göre geçiş sağlanır.</w:t>
            </w:r>
            <w:r w:rsidRPr="007C3B77">
              <w:rPr>
                <w:rFonts w:ascii="Cambria" w:hAnsi="Cambria"/>
                <w:b/>
                <w:bCs/>
                <w:color w:val="00B0F0"/>
                <w:sz w:val="24"/>
                <w:szCs w:val="24"/>
              </w:rPr>
              <w:t xml:space="preserve"> </w:t>
            </w:r>
            <w:r w:rsidRPr="007C3B77">
              <w:rPr>
                <w:rFonts w:ascii="Cambria" w:hAnsi="Cambria"/>
                <w:b/>
                <w:bCs/>
                <w:color w:val="FF0000"/>
                <w:sz w:val="24"/>
                <w:szCs w:val="24"/>
              </w:rPr>
              <w:t>(2023-2024 döneminde yürürlüğe girecek)</w:t>
            </w:r>
          </w:p>
          <w:p w14:paraId="6AF883EA" w14:textId="77777777" w:rsidR="009A0B72" w:rsidRPr="007C3B77" w:rsidRDefault="009A0B72" w:rsidP="009A0B72">
            <w:pPr>
              <w:pStyle w:val="AralkYok"/>
              <w:jc w:val="center"/>
              <w:rPr>
                <w:rFonts w:ascii="Cambria" w:hAnsi="Cambria"/>
                <w:bCs/>
                <w:sz w:val="24"/>
                <w:szCs w:val="24"/>
              </w:rPr>
            </w:pPr>
          </w:p>
        </w:tc>
      </w:tr>
      <w:tr w:rsidR="00925B46" w:rsidRPr="007C3B77" w14:paraId="0D15E427" w14:textId="77777777" w:rsidTr="009A0B72">
        <w:tc>
          <w:tcPr>
            <w:tcW w:w="7280" w:type="dxa"/>
          </w:tcPr>
          <w:p w14:paraId="06BCAA95" w14:textId="77777777" w:rsidR="007C3B77" w:rsidRPr="007C3B77" w:rsidRDefault="007C3B77" w:rsidP="007C3B77">
            <w:pPr>
              <w:spacing w:after="0" w:line="305" w:lineRule="atLeast"/>
              <w:jc w:val="both"/>
              <w:rPr>
                <w:rFonts w:ascii="Cambria" w:eastAsia="Times New Roman" w:hAnsi="Cambria" w:cs="Times New Roman"/>
                <w:color w:val="000000"/>
                <w:sz w:val="24"/>
                <w:szCs w:val="24"/>
                <w:lang w:eastAsia="tr-TR"/>
              </w:rPr>
            </w:pPr>
            <w:r w:rsidRPr="007C3B77">
              <w:rPr>
                <w:rFonts w:ascii="Cambria" w:eastAsia="Times New Roman" w:hAnsi="Cambria" w:cs="Calibri"/>
                <w:b/>
                <w:bCs/>
                <w:color w:val="000000"/>
                <w:sz w:val="24"/>
                <w:szCs w:val="24"/>
                <w:lang w:eastAsia="tr-TR"/>
              </w:rPr>
              <w:t>Sonuçların ilanı ve intibak programı</w:t>
            </w:r>
          </w:p>
          <w:p w14:paraId="4DAB169C" w14:textId="77D29231" w:rsidR="00925B46" w:rsidRPr="007C3B77" w:rsidRDefault="007C3B77" w:rsidP="007C3B77">
            <w:pPr>
              <w:spacing w:after="0" w:line="305" w:lineRule="atLeast"/>
              <w:jc w:val="both"/>
              <w:rPr>
                <w:rFonts w:ascii="Cambria" w:hAnsi="Cambria"/>
                <w:bCs/>
                <w:sz w:val="24"/>
                <w:szCs w:val="24"/>
              </w:rPr>
            </w:pPr>
            <w:r w:rsidRPr="007C3B77">
              <w:rPr>
                <w:rFonts w:ascii="Cambria" w:eastAsia="Times New Roman" w:hAnsi="Cambria" w:cs="Calibri"/>
                <w:b/>
                <w:bCs/>
                <w:color w:val="000000"/>
                <w:sz w:val="24"/>
                <w:szCs w:val="24"/>
                <w:lang w:eastAsia="tr-TR"/>
              </w:rPr>
              <w:t>MADDE 8</w:t>
            </w:r>
            <w:r w:rsidRPr="007C3B77">
              <w:rPr>
                <w:rFonts w:ascii="Cambria" w:eastAsia="Times New Roman" w:hAnsi="Cambria" w:cs="Calibri"/>
                <w:color w:val="000000"/>
                <w:sz w:val="24"/>
                <w:szCs w:val="24"/>
                <w:lang w:eastAsia="tr-TR"/>
              </w:rPr>
              <w:t> – (</w:t>
            </w:r>
            <w:r w:rsidRPr="007C3B77">
              <w:rPr>
                <w:rFonts w:ascii="Cambria" w:eastAsia="Times New Roman" w:hAnsi="Cambria" w:cs="Calibri"/>
                <w:color w:val="000000"/>
                <w:sz w:val="24"/>
                <w:szCs w:val="24"/>
                <w:lang w:eastAsia="tr-TR"/>
              </w:rPr>
              <w:t>2</w:t>
            </w:r>
            <w:r w:rsidRPr="007C3B77">
              <w:rPr>
                <w:rFonts w:ascii="Cambria" w:eastAsia="Times New Roman" w:hAnsi="Cambria" w:cs="Calibri"/>
                <w:color w:val="000000"/>
                <w:sz w:val="24"/>
                <w:szCs w:val="24"/>
                <w:lang w:eastAsia="tr-TR"/>
              </w:rPr>
              <w:t xml:space="preserve">) </w:t>
            </w:r>
            <w:r w:rsidRPr="007C3B77">
              <w:rPr>
                <w:rFonts w:ascii="Cambria" w:hAnsi="Cambria"/>
                <w:strike/>
                <w:color w:val="C00000"/>
                <w:sz w:val="24"/>
                <w:szCs w:val="24"/>
              </w:rPr>
              <w:t>Başarı şartını taşıyan yeterli sayıda adayın olması halinde kontenjan sayısı kadar yedek aday ilan edilir</w:t>
            </w:r>
            <w:r w:rsidRPr="007C3B77">
              <w:rPr>
                <w:rFonts w:ascii="Cambria" w:hAnsi="Cambria"/>
                <w:color w:val="000000"/>
                <w:sz w:val="24"/>
                <w:szCs w:val="24"/>
              </w:rPr>
              <w:t>.  Belirlenen süre içinde asıl adaylardan başvuru yapılmaması halinde sırayla yedekler çağrılır.</w:t>
            </w:r>
          </w:p>
        </w:tc>
        <w:tc>
          <w:tcPr>
            <w:tcW w:w="7280" w:type="dxa"/>
          </w:tcPr>
          <w:p w14:paraId="178C3352" w14:textId="77777777" w:rsidR="007C3B77" w:rsidRPr="007C3B77" w:rsidRDefault="007C3B77" w:rsidP="007C3B77">
            <w:pPr>
              <w:spacing w:after="0" w:line="305" w:lineRule="atLeast"/>
              <w:jc w:val="both"/>
              <w:rPr>
                <w:rFonts w:ascii="Cambria" w:eastAsia="Times New Roman" w:hAnsi="Cambria" w:cs="Times New Roman"/>
                <w:color w:val="000000"/>
                <w:sz w:val="24"/>
                <w:szCs w:val="24"/>
                <w:lang w:eastAsia="tr-TR"/>
              </w:rPr>
            </w:pPr>
            <w:r w:rsidRPr="007C3B77">
              <w:rPr>
                <w:rFonts w:ascii="Cambria" w:eastAsia="Times New Roman" w:hAnsi="Cambria" w:cs="Calibri"/>
                <w:b/>
                <w:bCs/>
                <w:color w:val="000000"/>
                <w:sz w:val="24"/>
                <w:szCs w:val="24"/>
                <w:lang w:eastAsia="tr-TR"/>
              </w:rPr>
              <w:t>Sonuçların ilanı ve intibak programı</w:t>
            </w:r>
          </w:p>
          <w:p w14:paraId="378F3CA2" w14:textId="5DB42799" w:rsidR="00925B46" w:rsidRPr="007C3B77" w:rsidRDefault="007C3B77" w:rsidP="007C3B77">
            <w:pPr>
              <w:pStyle w:val="AralkYok"/>
              <w:jc w:val="both"/>
              <w:rPr>
                <w:rFonts w:ascii="Cambria" w:hAnsi="Cambria"/>
                <w:bCs/>
                <w:sz w:val="24"/>
                <w:szCs w:val="24"/>
              </w:rPr>
            </w:pPr>
            <w:r w:rsidRPr="007C3B77">
              <w:rPr>
                <w:rFonts w:ascii="Cambria" w:eastAsia="Times New Roman" w:hAnsi="Cambria" w:cs="Calibri"/>
                <w:b/>
                <w:bCs/>
                <w:color w:val="000000"/>
                <w:sz w:val="24"/>
                <w:szCs w:val="24"/>
                <w:lang w:eastAsia="tr-TR"/>
              </w:rPr>
              <w:t>MADDE 8</w:t>
            </w:r>
            <w:r w:rsidRPr="007C3B77">
              <w:rPr>
                <w:rFonts w:ascii="Cambria" w:eastAsia="Times New Roman" w:hAnsi="Cambria" w:cs="Calibri"/>
                <w:color w:val="000000"/>
                <w:sz w:val="24"/>
                <w:szCs w:val="24"/>
                <w:lang w:eastAsia="tr-TR"/>
              </w:rPr>
              <w:t xml:space="preserve"> – (2) </w:t>
            </w:r>
            <w:r w:rsidRPr="007C3B77">
              <w:rPr>
                <w:rFonts w:ascii="Cambria" w:hAnsi="Cambria"/>
                <w:color w:val="00B0F0"/>
                <w:sz w:val="24"/>
                <w:szCs w:val="24"/>
              </w:rPr>
              <w:t>Başarı şartını taşıyan diğer adaylar başarı sırasına göre yedek aday olarak ilan edilir.</w:t>
            </w:r>
            <w:r w:rsidRPr="007C3B77">
              <w:rPr>
                <w:rFonts w:ascii="Cambria" w:hAnsi="Cambria"/>
                <w:color w:val="000000"/>
                <w:sz w:val="24"/>
                <w:szCs w:val="24"/>
              </w:rPr>
              <w:t>  Belirlenen süre içinde asıl adaylardan başvuru yapılmaması halinde sırayla yedekler çağrılır.</w:t>
            </w:r>
          </w:p>
        </w:tc>
      </w:tr>
    </w:tbl>
    <w:p w14:paraId="135CF199" w14:textId="77777777" w:rsidR="00BE3E80" w:rsidRPr="007C3B77" w:rsidRDefault="00BE3E80" w:rsidP="005B0C52">
      <w:pPr>
        <w:pStyle w:val="AralkYok"/>
        <w:rPr>
          <w:rFonts w:ascii="Cambria" w:hAnsi="Cambria"/>
          <w:b/>
          <w:bCs/>
          <w:color w:val="002060"/>
          <w:sz w:val="24"/>
          <w:szCs w:val="24"/>
        </w:rPr>
      </w:pPr>
    </w:p>
    <w:p w14:paraId="19ECF551" w14:textId="77777777" w:rsidR="00BE3E80" w:rsidRPr="007C3B77" w:rsidRDefault="00BE3E80" w:rsidP="005B0C52">
      <w:pPr>
        <w:pStyle w:val="AralkYok"/>
        <w:rPr>
          <w:rFonts w:ascii="Cambria" w:hAnsi="Cambria"/>
          <w:b/>
          <w:bCs/>
          <w:color w:val="002060"/>
          <w:sz w:val="24"/>
          <w:szCs w:val="24"/>
        </w:rPr>
      </w:pPr>
    </w:p>
    <w:p w14:paraId="328BF6B3" w14:textId="77777777" w:rsidR="00BE3E80" w:rsidRPr="007C3B77" w:rsidRDefault="00BE3E80" w:rsidP="005B0C52">
      <w:pPr>
        <w:pStyle w:val="AralkYok"/>
        <w:rPr>
          <w:rFonts w:ascii="Cambria" w:hAnsi="Cambria"/>
          <w:b/>
          <w:bCs/>
          <w:color w:val="002060"/>
          <w:sz w:val="24"/>
          <w:szCs w:val="24"/>
        </w:rPr>
      </w:pPr>
    </w:p>
    <w:p w14:paraId="3E83F570" w14:textId="77777777" w:rsidR="00BE3E80" w:rsidRPr="007C3B77" w:rsidRDefault="00BE3E80" w:rsidP="005B0C52">
      <w:pPr>
        <w:pStyle w:val="AralkYok"/>
        <w:rPr>
          <w:rFonts w:ascii="Cambria" w:hAnsi="Cambria"/>
          <w:b/>
          <w:bCs/>
          <w:color w:val="002060"/>
          <w:sz w:val="24"/>
          <w:szCs w:val="24"/>
        </w:rPr>
      </w:pPr>
    </w:p>
    <w:p w14:paraId="676B9D4E" w14:textId="77777777" w:rsidR="00F478AB" w:rsidRPr="007C3B77" w:rsidRDefault="00F478AB" w:rsidP="00F478AB">
      <w:pPr>
        <w:rPr>
          <w:rFonts w:ascii="Cambria" w:hAnsi="Cambria"/>
          <w:sz w:val="24"/>
          <w:szCs w:val="24"/>
        </w:rPr>
      </w:pPr>
    </w:p>
    <w:p w14:paraId="267EAE73" w14:textId="77777777" w:rsidR="005B0C52" w:rsidRPr="007C3B77" w:rsidRDefault="00F478AB" w:rsidP="00F478AB">
      <w:pPr>
        <w:tabs>
          <w:tab w:val="left" w:pos="10320"/>
        </w:tabs>
        <w:rPr>
          <w:rFonts w:ascii="Cambria" w:hAnsi="Cambria"/>
          <w:sz w:val="24"/>
          <w:szCs w:val="24"/>
        </w:rPr>
      </w:pPr>
      <w:r w:rsidRPr="007C3B77">
        <w:rPr>
          <w:rFonts w:ascii="Cambria" w:hAnsi="Cambria"/>
          <w:sz w:val="24"/>
          <w:szCs w:val="24"/>
        </w:rPr>
        <w:tab/>
      </w:r>
    </w:p>
    <w:sectPr w:rsidR="005B0C52" w:rsidRPr="007C3B77" w:rsidSect="00900183">
      <w:headerReference w:type="even" r:id="rId6"/>
      <w:headerReference w:type="default" r:id="rId7"/>
      <w:footerReference w:type="even" r:id="rId8"/>
      <w:footerReference w:type="default" r:id="rId9"/>
      <w:headerReference w:type="first" r:id="rId10"/>
      <w:footerReference w:type="first" r:id="rId11"/>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9016" w14:textId="77777777" w:rsidR="00441B6D" w:rsidRDefault="00441B6D" w:rsidP="00534F7F">
      <w:pPr>
        <w:spacing w:after="0" w:line="240" w:lineRule="auto"/>
      </w:pPr>
      <w:r>
        <w:separator/>
      </w:r>
    </w:p>
  </w:endnote>
  <w:endnote w:type="continuationSeparator" w:id="0">
    <w:p w14:paraId="79E7858C" w14:textId="77777777" w:rsidR="00441B6D" w:rsidRDefault="00441B6D"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9066" w14:textId="77777777" w:rsidR="00D23B84" w:rsidRDefault="00D23B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CE19"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14:paraId="330C45CA" w14:textId="77777777" w:rsidTr="0020508C">
      <w:trPr>
        <w:trHeight w:val="559"/>
      </w:trPr>
      <w:tc>
        <w:tcPr>
          <w:tcW w:w="666" w:type="dxa"/>
        </w:tcPr>
        <w:p w14:paraId="3E2E85C6" w14:textId="77777777"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19CEDDF7" w14:textId="77777777"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14:paraId="302608D3"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3E2D540E"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BFE68E9"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1A0BABF5" w14:textId="77777777"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4CD08C7A"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77AA002E"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4FD5D913"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14:paraId="59F58B30"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3BE98FBF" w14:textId="77777777"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0A3C6E07" w14:textId="77777777"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4B55BBA3" w14:textId="77777777"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78DE2D99" w14:textId="77777777" w:rsidR="00534F7F" w:rsidRDefault="00534F7F">
    <w:pPr>
      <w:pStyle w:val="AltBilgi"/>
      <w:rPr>
        <w:sz w:val="6"/>
        <w:szCs w:val="6"/>
      </w:rPr>
    </w:pPr>
  </w:p>
  <w:p w14:paraId="7E8830E7"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0A25" w14:textId="77777777" w:rsidR="00D23B84" w:rsidRDefault="00D23B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311F" w14:textId="77777777" w:rsidR="00441B6D" w:rsidRDefault="00441B6D" w:rsidP="00534F7F">
      <w:pPr>
        <w:spacing w:after="0" w:line="240" w:lineRule="auto"/>
      </w:pPr>
      <w:r>
        <w:separator/>
      </w:r>
    </w:p>
  </w:footnote>
  <w:footnote w:type="continuationSeparator" w:id="0">
    <w:p w14:paraId="192CE653" w14:textId="77777777" w:rsidR="00441B6D" w:rsidRDefault="00441B6D"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ED88" w14:textId="77777777" w:rsidR="00D23B84" w:rsidRDefault="00D23B8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4F2B4C6E" w14:textId="77777777" w:rsidTr="00D04D2D">
      <w:trPr>
        <w:trHeight w:val="189"/>
      </w:trPr>
      <w:tc>
        <w:tcPr>
          <w:tcW w:w="2547" w:type="dxa"/>
          <w:vMerge w:val="restart"/>
        </w:tcPr>
        <w:p w14:paraId="3E8ECAA4"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040FC86A" wp14:editId="6C8830F2">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0700CDD9" w14:textId="77777777" w:rsidR="00534F7F" w:rsidRPr="0092378E" w:rsidRDefault="009A0B72" w:rsidP="00437CF7">
          <w:pPr>
            <w:pStyle w:val="stBilgi"/>
            <w:jc w:val="center"/>
            <w:rPr>
              <w:rFonts w:ascii="Cambria" w:hAnsi="Cambria"/>
              <w:b/>
            </w:rPr>
          </w:pPr>
          <w:r>
            <w:rPr>
              <w:rFonts w:ascii="Cambria" w:hAnsi="Cambria"/>
              <w:b/>
              <w:color w:val="002060"/>
            </w:rPr>
            <w:t>KARŞILAŞTIRMA CETVELİ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4E5B042"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AA7B72F" w14:textId="77777777"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14:paraId="1623A50A" w14:textId="77777777" w:rsidTr="00D04D2D">
      <w:trPr>
        <w:trHeight w:val="187"/>
      </w:trPr>
      <w:tc>
        <w:tcPr>
          <w:tcW w:w="2547" w:type="dxa"/>
          <w:vMerge/>
        </w:tcPr>
        <w:p w14:paraId="4B20074E"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26C51208"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1517673"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D3A06CC" w14:textId="77777777"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14:paraId="20EF0704" w14:textId="77777777" w:rsidTr="00D04D2D">
      <w:trPr>
        <w:trHeight w:val="187"/>
      </w:trPr>
      <w:tc>
        <w:tcPr>
          <w:tcW w:w="2547" w:type="dxa"/>
          <w:vMerge/>
        </w:tcPr>
        <w:p w14:paraId="707F3DCE"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C730B7C"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48C736E"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B352591"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4E663A56" w14:textId="77777777" w:rsidTr="00D04D2D">
      <w:trPr>
        <w:trHeight w:val="220"/>
      </w:trPr>
      <w:tc>
        <w:tcPr>
          <w:tcW w:w="2547" w:type="dxa"/>
          <w:vMerge/>
        </w:tcPr>
        <w:p w14:paraId="0CECE80B"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778E9B53"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4E9BB3C"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5C0BED9"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42D8D53A" w14:textId="77777777" w:rsidR="00F958F7" w:rsidRPr="00D04D2D" w:rsidRDefault="00F958F7">
    <w:pPr>
      <w:pStyle w:val="stBilgi"/>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9D90" w14:textId="77777777" w:rsidR="00D23B84" w:rsidRDefault="00D23B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DDB"/>
    <w:rsid w:val="000B5CD3"/>
    <w:rsid w:val="00116355"/>
    <w:rsid w:val="001368C2"/>
    <w:rsid w:val="0015666B"/>
    <w:rsid w:val="00164950"/>
    <w:rsid w:val="001F16FF"/>
    <w:rsid w:val="0020508C"/>
    <w:rsid w:val="00205E4D"/>
    <w:rsid w:val="00271BDB"/>
    <w:rsid w:val="002F0FD6"/>
    <w:rsid w:val="00322432"/>
    <w:rsid w:val="003230A8"/>
    <w:rsid w:val="003C0F72"/>
    <w:rsid w:val="003D72D5"/>
    <w:rsid w:val="00406E3A"/>
    <w:rsid w:val="004232E9"/>
    <w:rsid w:val="00437CF7"/>
    <w:rsid w:val="00441B6D"/>
    <w:rsid w:val="004B24B6"/>
    <w:rsid w:val="00534F7F"/>
    <w:rsid w:val="00561AEB"/>
    <w:rsid w:val="00587671"/>
    <w:rsid w:val="005B0C52"/>
    <w:rsid w:val="005B25C0"/>
    <w:rsid w:val="006319F6"/>
    <w:rsid w:val="00634E90"/>
    <w:rsid w:val="0064705C"/>
    <w:rsid w:val="007C3B77"/>
    <w:rsid w:val="00846AD8"/>
    <w:rsid w:val="00877EE5"/>
    <w:rsid w:val="008B1B67"/>
    <w:rsid w:val="00900183"/>
    <w:rsid w:val="00925B46"/>
    <w:rsid w:val="009A0B72"/>
    <w:rsid w:val="00A5214F"/>
    <w:rsid w:val="00BE3E80"/>
    <w:rsid w:val="00CC3E17"/>
    <w:rsid w:val="00CF5DBC"/>
    <w:rsid w:val="00D00CA5"/>
    <w:rsid w:val="00D04D2D"/>
    <w:rsid w:val="00D23B84"/>
    <w:rsid w:val="00E63D92"/>
    <w:rsid w:val="00EB72A7"/>
    <w:rsid w:val="00F478AB"/>
    <w:rsid w:val="00F66833"/>
    <w:rsid w:val="00F95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4AC2"/>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rame">
    <w:name w:val="grame"/>
    <w:basedOn w:val="VarsaylanParagrafYazTipi"/>
    <w:rsid w:val="007C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88126">
      <w:bodyDiv w:val="1"/>
      <w:marLeft w:val="0"/>
      <w:marRight w:val="0"/>
      <w:marTop w:val="0"/>
      <w:marBottom w:val="0"/>
      <w:divBdr>
        <w:top w:val="none" w:sz="0" w:space="0" w:color="auto"/>
        <w:left w:val="none" w:sz="0" w:space="0" w:color="auto"/>
        <w:bottom w:val="none" w:sz="0" w:space="0" w:color="auto"/>
        <w:right w:val="none" w:sz="0" w:space="0" w:color="auto"/>
      </w:divBdr>
    </w:div>
    <w:div w:id="142530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2</cp:revision>
  <dcterms:created xsi:type="dcterms:W3CDTF">2023-01-10T22:12:00Z</dcterms:created>
  <dcterms:modified xsi:type="dcterms:W3CDTF">2023-01-10T22:12:00Z</dcterms:modified>
</cp:coreProperties>
</file>