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Tr="006319F6">
        <w:tc>
          <w:tcPr>
            <w:tcW w:w="2508" w:type="dxa"/>
            <w:vMerge w:val="restart"/>
            <w:shd w:val="clear" w:color="auto" w:fill="F2F2F2" w:themeFill="background1" w:themeFillShade="F2"/>
            <w:vAlign w:val="center"/>
          </w:tcPr>
          <w:p w:rsidR="006319F6" w:rsidRDefault="006319F6" w:rsidP="006319F6">
            <w:pPr>
              <w:pStyle w:val="AralkYok"/>
              <w:jc w:val="right"/>
              <w:rPr>
                <w:rFonts w:ascii="Cambria" w:hAnsi="Cambria"/>
                <w:b/>
                <w:bCs/>
                <w:color w:val="002060"/>
              </w:rPr>
            </w:pPr>
            <w:r>
              <w:rPr>
                <w:rFonts w:ascii="Cambria" w:hAnsi="Cambria"/>
                <w:b/>
                <w:bCs/>
                <w:color w:val="002060"/>
              </w:rPr>
              <w:t>Doküman Türü</w:t>
            </w:r>
          </w:p>
        </w:tc>
        <w:sdt>
          <w:sdtPr>
            <w:rPr>
              <w:rFonts w:ascii="Cambria" w:hAnsi="Cambria"/>
              <w:b/>
              <w:bCs/>
              <w:sz w:val="24"/>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9A0B72" w:rsidRDefault="006319F6" w:rsidP="006319F6">
                <w:pPr>
                  <w:pStyle w:val="AralkYok"/>
                  <w:rPr>
                    <w:rFonts w:ascii="Cambria" w:hAnsi="Cambria"/>
                    <w:b/>
                    <w:bCs/>
                    <w:sz w:val="24"/>
                  </w:rPr>
                </w:pPr>
                <w:r w:rsidRPr="009A0B72">
                  <w:rPr>
                    <w:rFonts w:ascii="MS Gothic" w:eastAsia="MS Gothic" w:hAnsi="MS Gothic" w:hint="eastAsia"/>
                    <w:b/>
                    <w:bCs/>
                    <w:sz w:val="24"/>
                  </w:rPr>
                  <w:t>☐</w:t>
                </w:r>
              </w:p>
            </w:tc>
          </w:sdtContent>
        </w:sdt>
        <w:tc>
          <w:tcPr>
            <w:tcW w:w="2532"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519"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584"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649" w:type="dxa"/>
            <w:tcBorders>
              <w:left w:val="nil"/>
              <w:bottom w:val="nil"/>
            </w:tcBorders>
            <w:vAlign w:val="center"/>
          </w:tcPr>
          <w:p w:rsidR="006319F6" w:rsidRPr="009A0B72" w:rsidRDefault="006319F6" w:rsidP="006319F6">
            <w:pPr>
              <w:pStyle w:val="AralkYok"/>
              <w:rPr>
                <w:rFonts w:ascii="Cambria" w:hAnsi="Cambria"/>
                <w:b/>
                <w:bCs/>
              </w:rPr>
            </w:pPr>
            <w:r>
              <w:rPr>
                <w:rFonts w:ascii="Cambria" w:hAnsi="Cambria"/>
                <w:b/>
                <w:bCs/>
              </w:rPr>
              <w:t>Tebliğ</w:t>
            </w:r>
          </w:p>
        </w:tc>
      </w:tr>
      <w:tr w:rsidR="006319F6" w:rsidTr="006319F6">
        <w:tc>
          <w:tcPr>
            <w:tcW w:w="2508" w:type="dxa"/>
            <w:vMerge/>
            <w:shd w:val="clear" w:color="auto" w:fill="F2F2F2" w:themeFill="background1" w:themeFillShade="F2"/>
            <w:vAlign w:val="center"/>
          </w:tcPr>
          <w:p w:rsidR="006319F6" w:rsidRDefault="006319F6" w:rsidP="004232E9">
            <w:pPr>
              <w:pStyle w:val="AralkYok"/>
              <w:jc w:val="right"/>
              <w:rPr>
                <w:rFonts w:ascii="Cambria" w:hAnsi="Cambria"/>
                <w:b/>
                <w:bCs/>
                <w:color w:val="002060"/>
              </w:rPr>
            </w:pPr>
          </w:p>
        </w:tc>
        <w:sdt>
          <w:sdtPr>
            <w:rPr>
              <w:rFonts w:ascii="Cambria" w:hAnsi="Cambria"/>
              <w:b/>
              <w:bCs/>
              <w:sz w:val="24"/>
            </w:rPr>
            <w:id w:val="-1395648614"/>
            <w14:checkbox>
              <w14:checked w14:val="1"/>
              <w14:checkedState w14:val="2612" w14:font="MS Gothic"/>
              <w14:uncheckedState w14:val="2610" w14:font="MS Gothic"/>
            </w14:checkbox>
          </w:sdtPr>
          <w:sdtEndPr/>
          <w:sdtContent>
            <w:tc>
              <w:tcPr>
                <w:tcW w:w="457" w:type="dxa"/>
                <w:tcBorders>
                  <w:top w:val="nil"/>
                  <w:right w:val="nil"/>
                </w:tcBorders>
                <w:vAlign w:val="center"/>
              </w:tcPr>
              <w:p w:rsidR="006319F6" w:rsidRPr="009A0B72" w:rsidRDefault="00595D0A" w:rsidP="005B0C52">
                <w:pPr>
                  <w:pStyle w:val="AralkYok"/>
                  <w:rPr>
                    <w:rFonts w:ascii="Cambria" w:hAnsi="Cambria"/>
                    <w:b/>
                    <w:bCs/>
                    <w:sz w:val="24"/>
                  </w:rPr>
                </w:pPr>
                <w:r>
                  <w:rPr>
                    <w:rFonts w:ascii="MS Gothic" w:eastAsia="MS Gothic" w:hAnsi="MS Gothic" w:hint="eastAsia"/>
                    <w:b/>
                    <w:bCs/>
                    <w:sz w:val="24"/>
                  </w:rPr>
                  <w:t>☒</w:t>
                </w:r>
              </w:p>
            </w:tc>
          </w:sdtContent>
        </w:sdt>
        <w:tc>
          <w:tcPr>
            <w:tcW w:w="2532"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519"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584"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649" w:type="dxa"/>
            <w:tcBorders>
              <w:top w:val="nil"/>
              <w:left w:val="nil"/>
            </w:tcBorders>
            <w:vAlign w:val="center"/>
          </w:tcPr>
          <w:p w:rsidR="006319F6" w:rsidRPr="009A0B72" w:rsidRDefault="006319F6" w:rsidP="005B0C52">
            <w:pPr>
              <w:pStyle w:val="AralkYok"/>
              <w:rPr>
                <w:rFonts w:ascii="Cambria" w:hAnsi="Cambria"/>
                <w:b/>
                <w:bCs/>
              </w:rPr>
            </w:pPr>
            <w:r w:rsidRPr="009A0B72">
              <w:rPr>
                <w:rFonts w:ascii="Cambria" w:hAnsi="Cambria"/>
                <w:b/>
                <w:bCs/>
              </w:rPr>
              <w:t>Sözleşme/Protokol</w:t>
            </w:r>
          </w:p>
        </w:tc>
      </w:tr>
      <w:tr w:rsidR="009A0B72" w:rsidTr="006319F6">
        <w:tc>
          <w:tcPr>
            <w:tcW w:w="2508" w:type="dxa"/>
            <w:shd w:val="clear" w:color="auto" w:fill="F2F2F2" w:themeFill="background1" w:themeFillShade="F2"/>
            <w:vAlign w:val="center"/>
          </w:tcPr>
          <w:p w:rsidR="009A0B72" w:rsidRDefault="009A0B72" w:rsidP="009A0B72">
            <w:pPr>
              <w:pStyle w:val="AralkYok"/>
              <w:jc w:val="right"/>
              <w:rPr>
                <w:rFonts w:ascii="Cambria" w:hAnsi="Cambria"/>
                <w:b/>
                <w:bCs/>
                <w:color w:val="002060"/>
              </w:rPr>
            </w:pPr>
            <w:r>
              <w:rPr>
                <w:rFonts w:ascii="Cambria" w:hAnsi="Cambria"/>
                <w:b/>
                <w:bCs/>
                <w:color w:val="002060"/>
              </w:rPr>
              <w:t>Doküman Adı</w:t>
            </w:r>
          </w:p>
        </w:tc>
        <w:tc>
          <w:tcPr>
            <w:tcW w:w="12052" w:type="dxa"/>
            <w:gridSpan w:val="8"/>
            <w:vAlign w:val="center"/>
          </w:tcPr>
          <w:p w:rsidR="009A0B72" w:rsidRPr="009A0B72" w:rsidRDefault="00595D0A" w:rsidP="005B0C52">
            <w:pPr>
              <w:pStyle w:val="AralkYok"/>
              <w:rPr>
                <w:rFonts w:ascii="Cambria" w:hAnsi="Cambria"/>
                <w:b/>
                <w:bCs/>
                <w:color w:val="002060"/>
                <w:sz w:val="24"/>
              </w:rPr>
            </w:pPr>
            <w:r>
              <w:rPr>
                <w:rFonts w:ascii="Cambria" w:hAnsi="Cambria"/>
                <w:b/>
                <w:bCs/>
                <w:color w:val="002060"/>
                <w:sz w:val="24"/>
              </w:rPr>
              <w:t>Doçentlik Yönetmeliği</w:t>
            </w:r>
          </w:p>
        </w:tc>
      </w:tr>
    </w:tbl>
    <w:p w:rsidR="00BE3E80"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rsidTr="009A0B72">
        <w:tc>
          <w:tcPr>
            <w:tcW w:w="7280" w:type="dxa"/>
            <w:shd w:val="clear" w:color="auto" w:fill="F2F2F2" w:themeFill="background1" w:themeFillShade="F2"/>
          </w:tcPr>
          <w:p w:rsidR="009A0B72" w:rsidRDefault="009A0B72" w:rsidP="009A0B72">
            <w:pPr>
              <w:pStyle w:val="AralkYok"/>
              <w:jc w:val="center"/>
              <w:rPr>
                <w:rFonts w:ascii="Cambria" w:hAnsi="Cambria"/>
                <w:b/>
                <w:bCs/>
                <w:color w:val="002060"/>
              </w:rPr>
            </w:pPr>
            <w:r>
              <w:rPr>
                <w:rFonts w:ascii="Cambria" w:hAnsi="Cambria"/>
                <w:b/>
                <w:bCs/>
                <w:color w:val="002060"/>
              </w:rPr>
              <w:t>ESKİ ŞEKLİ</w:t>
            </w:r>
          </w:p>
        </w:tc>
        <w:tc>
          <w:tcPr>
            <w:tcW w:w="7280" w:type="dxa"/>
            <w:shd w:val="clear" w:color="auto" w:fill="F2F2F2" w:themeFill="background1" w:themeFillShade="F2"/>
          </w:tcPr>
          <w:p w:rsidR="009A0B72" w:rsidRDefault="009A0B72" w:rsidP="009A0B72">
            <w:pPr>
              <w:pStyle w:val="AralkYok"/>
              <w:jc w:val="center"/>
              <w:rPr>
                <w:rFonts w:ascii="Cambria" w:hAnsi="Cambria"/>
                <w:b/>
                <w:bCs/>
                <w:color w:val="002060"/>
              </w:rPr>
            </w:pPr>
            <w:r>
              <w:rPr>
                <w:rFonts w:ascii="Cambria" w:hAnsi="Cambria"/>
                <w:b/>
                <w:bCs/>
                <w:color w:val="002060"/>
              </w:rPr>
              <w:t>YENİ ŞEKLİ</w:t>
            </w:r>
          </w:p>
        </w:tc>
      </w:tr>
      <w:tr w:rsidR="009A0B72" w:rsidRPr="009A0B72" w:rsidTr="009A0B72">
        <w:tc>
          <w:tcPr>
            <w:tcW w:w="7280" w:type="dxa"/>
          </w:tcPr>
          <w:p w:rsidR="00595D0A" w:rsidRPr="00595D0A" w:rsidRDefault="00595D0A" w:rsidP="00595D0A">
            <w:pPr>
              <w:spacing w:after="0" w:line="240" w:lineRule="auto"/>
              <w:jc w:val="both"/>
              <w:rPr>
                <w:rFonts w:ascii="Cambria" w:eastAsia="Times New Roman" w:hAnsi="Cambria" w:cs="Times New Roman"/>
                <w:color w:val="000000"/>
                <w:lang w:eastAsia="tr-TR"/>
              </w:rPr>
            </w:pPr>
            <w:r w:rsidRPr="00595D0A">
              <w:rPr>
                <w:rFonts w:ascii="Cambria" w:eastAsia="Times New Roman" w:hAnsi="Cambria" w:cs="Times New Roman"/>
                <w:b/>
                <w:bCs/>
                <w:color w:val="000000"/>
                <w:lang w:eastAsia="tr-TR"/>
              </w:rPr>
              <w:t>Doçentlik Komisyonu</w:t>
            </w:r>
          </w:p>
          <w:p w:rsidR="00595D0A" w:rsidRPr="00595D0A" w:rsidRDefault="00595D0A" w:rsidP="00595D0A">
            <w:pPr>
              <w:spacing w:after="0" w:line="240" w:lineRule="auto"/>
              <w:jc w:val="both"/>
              <w:rPr>
                <w:rFonts w:ascii="Cambria" w:eastAsia="Times New Roman" w:hAnsi="Cambria" w:cs="Times New Roman"/>
                <w:color w:val="000000"/>
                <w:lang w:eastAsia="tr-TR"/>
              </w:rPr>
            </w:pPr>
            <w:r w:rsidRPr="00595D0A">
              <w:rPr>
                <w:rFonts w:ascii="Cambria" w:eastAsia="Times New Roman" w:hAnsi="Cambria" w:cs="Times New Roman"/>
                <w:b/>
                <w:bCs/>
                <w:color w:val="000000"/>
                <w:lang w:eastAsia="tr-TR"/>
              </w:rPr>
              <w:t>MADDE 8 –</w:t>
            </w:r>
            <w:r w:rsidRPr="00595D0A">
              <w:rPr>
                <w:rFonts w:ascii="Cambria" w:eastAsia="Times New Roman" w:hAnsi="Cambria" w:cs="Times New Roman"/>
                <w:color w:val="000000"/>
                <w:lang w:eastAsia="tr-TR"/>
              </w:rPr>
              <w:t> (1) Bu Yönetmelikle verilen görevleri yerine getirmek üzere, Üniversitelerarası Kurul bünyesinde Doçentlik Komisyonu kurulur. Komisyon, sosyal, fen-mühendislik, sağlık bilimleri ve güzel sanatlar alanlarından profesör unvanına sahip  </w:t>
            </w:r>
            <w:r w:rsidRPr="00595D0A">
              <w:rPr>
                <w:rFonts w:ascii="Cambria" w:eastAsia="Times New Roman" w:hAnsi="Cambria" w:cs="Times New Roman"/>
                <w:b/>
                <w:strike/>
                <w:color w:val="FF0000"/>
                <w:lang w:eastAsia="tr-TR"/>
              </w:rPr>
              <w:t>on dokuz</w:t>
            </w:r>
            <w:r w:rsidRPr="00595D0A">
              <w:rPr>
                <w:rFonts w:ascii="Cambria" w:eastAsia="Times New Roman" w:hAnsi="Cambria" w:cs="Times New Roman"/>
                <w:color w:val="FF0000"/>
                <w:lang w:eastAsia="tr-TR"/>
              </w:rPr>
              <w:t> </w:t>
            </w:r>
            <w:r w:rsidRPr="00595D0A">
              <w:rPr>
                <w:rFonts w:ascii="Cambria" w:eastAsia="Times New Roman" w:hAnsi="Cambria" w:cs="Times New Roman"/>
                <w:color w:val="000000"/>
                <w:lang w:eastAsia="tr-TR"/>
              </w:rPr>
              <w:t xml:space="preserve">üyeden oluşur. Komisyon üyeleri, Üniversitelerarası Kurul Başkanının komisyon üye tamsayısının en az iki katı kadar önereceği aday arasından, Üniversitelerarası Kurul tarafından </w:t>
            </w:r>
            <w:r w:rsidRPr="00595D0A">
              <w:rPr>
                <w:rFonts w:ascii="Cambria" w:eastAsia="Times New Roman" w:hAnsi="Cambria" w:cs="Times New Roman"/>
                <w:b/>
                <w:strike/>
                <w:color w:val="FF0000"/>
                <w:lang w:eastAsia="tr-TR"/>
              </w:rPr>
              <w:t>üç</w:t>
            </w:r>
            <w:r w:rsidRPr="00595D0A">
              <w:rPr>
                <w:rFonts w:ascii="Cambria" w:eastAsia="Times New Roman" w:hAnsi="Cambria" w:cs="Times New Roman"/>
                <w:color w:val="000000"/>
                <w:lang w:eastAsia="tr-TR"/>
              </w:rPr>
              <w:t xml:space="preserve"> yıllığına seçilir. Komisyon ilk toplantısında kendi üyeleri arasından bir başkan ve başkan vekili seçer. Üniversitelerarası Kurul Yönetim Kurulu kararı ile gerektiğinde komisyon üyelerinden oluşacak alt komisyonlar kurulabilir.</w:t>
            </w:r>
          </w:p>
          <w:p w:rsidR="009A0B72" w:rsidRPr="00595D0A" w:rsidRDefault="009A0B72" w:rsidP="009A0B72">
            <w:pPr>
              <w:pStyle w:val="AralkYok"/>
              <w:jc w:val="center"/>
              <w:rPr>
                <w:rFonts w:ascii="Cambria" w:hAnsi="Cambria"/>
                <w:bCs/>
              </w:rPr>
            </w:pPr>
          </w:p>
        </w:tc>
        <w:tc>
          <w:tcPr>
            <w:tcW w:w="7280" w:type="dxa"/>
          </w:tcPr>
          <w:p w:rsidR="00595D0A" w:rsidRPr="00595D0A" w:rsidRDefault="00595D0A" w:rsidP="00595D0A">
            <w:pPr>
              <w:spacing w:after="0" w:line="240" w:lineRule="auto"/>
              <w:jc w:val="both"/>
              <w:rPr>
                <w:rFonts w:ascii="Cambria" w:eastAsia="Times New Roman" w:hAnsi="Cambria" w:cs="Times New Roman"/>
                <w:color w:val="000000"/>
                <w:lang w:eastAsia="tr-TR"/>
              </w:rPr>
            </w:pPr>
            <w:r w:rsidRPr="00595D0A">
              <w:rPr>
                <w:rFonts w:ascii="Cambria" w:eastAsia="Times New Roman" w:hAnsi="Cambria" w:cs="Times New Roman"/>
                <w:b/>
                <w:bCs/>
                <w:color w:val="000000"/>
                <w:lang w:eastAsia="tr-TR"/>
              </w:rPr>
              <w:t>Doçentlik Komisyonu</w:t>
            </w:r>
          </w:p>
          <w:p w:rsidR="009A0B72" w:rsidRPr="00595D0A" w:rsidRDefault="00595D0A" w:rsidP="00595D0A">
            <w:pPr>
              <w:spacing w:after="0" w:line="240" w:lineRule="auto"/>
              <w:jc w:val="both"/>
              <w:rPr>
                <w:rFonts w:ascii="Cambria" w:hAnsi="Cambria"/>
                <w:bCs/>
              </w:rPr>
            </w:pPr>
            <w:r w:rsidRPr="00595D0A">
              <w:rPr>
                <w:rFonts w:ascii="Cambria" w:eastAsia="Times New Roman" w:hAnsi="Cambria" w:cs="Times New Roman"/>
                <w:b/>
                <w:bCs/>
                <w:color w:val="000000"/>
                <w:lang w:eastAsia="tr-TR"/>
              </w:rPr>
              <w:t>MADDE 8 –</w:t>
            </w:r>
            <w:r w:rsidRPr="00595D0A">
              <w:rPr>
                <w:rFonts w:ascii="Cambria" w:eastAsia="Times New Roman" w:hAnsi="Cambria" w:cs="Times New Roman"/>
                <w:color w:val="000000"/>
                <w:lang w:eastAsia="tr-TR"/>
              </w:rPr>
              <w:t xml:space="preserve"> (1) </w:t>
            </w:r>
            <w:r w:rsidRPr="00595D0A">
              <w:rPr>
                <w:rFonts w:ascii="Cambria" w:hAnsi="Cambria"/>
                <w:color w:val="000000"/>
              </w:rPr>
              <w:t xml:space="preserve">Bu Yönetmelikle verilen görevleri yerine getirmek üzere, Üniversitelerarası Kurul bünyesinde Doçentlik Komisyonu kurulur. Komisyon, sosyal, fen-mühendislik, sağlık bilimleri ve güzel sanatlar alanlarından profesör unvanına sahip </w:t>
            </w:r>
            <w:r w:rsidRPr="00595D0A">
              <w:rPr>
                <w:rFonts w:ascii="Cambria" w:hAnsi="Cambria"/>
                <w:b/>
                <w:color w:val="FF0000"/>
              </w:rPr>
              <w:t>yirmi bir</w:t>
            </w:r>
            <w:r w:rsidRPr="00595D0A">
              <w:rPr>
                <w:rFonts w:ascii="Cambria" w:hAnsi="Cambria"/>
                <w:color w:val="FF0000"/>
              </w:rPr>
              <w:t xml:space="preserve"> </w:t>
            </w:r>
            <w:r w:rsidRPr="00595D0A">
              <w:rPr>
                <w:rFonts w:ascii="Cambria" w:hAnsi="Cambria"/>
                <w:color w:val="000000"/>
              </w:rPr>
              <w:t xml:space="preserve">üyeden oluşur. Komisyon üyeleri, Üniversitelerarası Kurul Başkanının komisyon üye tamsayısının en az iki katı kadar önereceği aday arasından, Üniversitelerarası Kurul tarafından </w:t>
            </w:r>
            <w:r w:rsidRPr="00595D0A">
              <w:rPr>
                <w:rFonts w:ascii="Cambria" w:hAnsi="Cambria"/>
                <w:b/>
                <w:color w:val="FF0000"/>
              </w:rPr>
              <w:t>iki</w:t>
            </w:r>
            <w:r w:rsidRPr="00595D0A">
              <w:rPr>
                <w:rFonts w:ascii="Cambria" w:hAnsi="Cambria"/>
                <w:color w:val="000000"/>
              </w:rPr>
              <w:t xml:space="preserve"> yıllığına seçilir. </w:t>
            </w:r>
            <w:r w:rsidRPr="00595D0A">
              <w:rPr>
                <w:rFonts w:ascii="Cambria" w:hAnsi="Cambria"/>
                <w:b/>
                <w:color w:val="FF0000"/>
              </w:rPr>
              <w:t xml:space="preserve">Görev süresi biten üye Üniversitelerarası Kurul Yönetim Kurulu kararı ile bir defa olmak üzere yeniden iki yıl süre ile görevlendirilebilir. Herhangi bir sebeple üst üste üç toplantıya katılmayan veya bir yıl içinde en az beş kez toplantıya katılmayan üyenin, üyeliği kendiliğinden sona erer ve durum kendisine bildirilir. Herhangi bir nedenle boşalan üyelik için, Üniversitelerarası Kurul Yönetim Kurulu tarafından yeni üye seçilir. Seçilen üye, yerine seçildiği üyenin kalan görev süresini tamamlar. </w:t>
            </w:r>
            <w:r w:rsidRPr="00595D0A">
              <w:rPr>
                <w:rFonts w:ascii="Cambria" w:hAnsi="Cambria"/>
                <w:color w:val="000000"/>
              </w:rPr>
              <w:t>Komisyon ilk toplantısında kendi üyeleri arasından bir başkan ve başkan vekili seçer. Üniversitelerarası Kurul Yönetim Kurulu kararı ile gerektiğinde komisyon üyelerinden oluşacak alt komisyonlar kurulabilir.</w:t>
            </w:r>
          </w:p>
        </w:tc>
      </w:tr>
    </w:tbl>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C8136B" w:rsidRPr="00C8136B" w:rsidRDefault="00C8136B" w:rsidP="005B0C52">
      <w:pPr>
        <w:pStyle w:val="AralkYok"/>
        <w:rPr>
          <w:rFonts w:ascii="Cambria" w:hAnsi="Cambria"/>
        </w:rPr>
      </w:pPr>
      <w:r w:rsidRPr="00C8136B">
        <w:rPr>
          <w:rFonts w:ascii="Cambria" w:hAnsi="Cambria"/>
        </w:rPr>
        <w:t>Not:</w:t>
      </w:r>
    </w:p>
    <w:p w:rsidR="00C8136B" w:rsidRPr="00C8136B" w:rsidRDefault="00C8136B" w:rsidP="005B0C52">
      <w:pPr>
        <w:pStyle w:val="AralkYok"/>
        <w:rPr>
          <w:rFonts w:ascii="Cambria" w:hAnsi="Cambria"/>
        </w:rPr>
      </w:pPr>
      <w:r w:rsidRPr="00C8136B">
        <w:rPr>
          <w:rFonts w:ascii="Cambria" w:hAnsi="Cambria"/>
        </w:rPr>
        <w:t xml:space="preserve">-Hazırlanan tabloda hata veya eksiklik varsa </w:t>
      </w:r>
      <w:r w:rsidRPr="00C8136B">
        <w:rPr>
          <w:rFonts w:ascii="Cambria" w:hAnsi="Cambria"/>
          <w:b/>
          <w:u w:val="single"/>
        </w:rPr>
        <w:t>turgayd@bartin.edu.tr</w:t>
      </w:r>
      <w:r w:rsidRPr="00C8136B">
        <w:rPr>
          <w:rFonts w:ascii="Cambria" w:hAnsi="Cambria"/>
        </w:rPr>
        <w:t xml:space="preserve"> adresine elektronik posta olarak bildirebilirsiniz.</w:t>
      </w:r>
    </w:p>
    <w:p w:rsidR="00C8136B" w:rsidRPr="00C8136B" w:rsidRDefault="00C8136B" w:rsidP="005B0C52">
      <w:pPr>
        <w:pStyle w:val="AralkYok"/>
        <w:rPr>
          <w:rFonts w:ascii="Cambria" w:hAnsi="Cambria"/>
        </w:rPr>
      </w:pPr>
      <w:r w:rsidRPr="00C8136B">
        <w:rPr>
          <w:rFonts w:ascii="Cambria" w:hAnsi="Cambria"/>
        </w:rPr>
        <w:t>-</w:t>
      </w:r>
      <w:r w:rsidRPr="00C8136B">
        <w:rPr>
          <w:rFonts w:ascii="Cambria" w:hAnsi="Cambria"/>
          <w:b/>
          <w:color w:val="FF0000"/>
        </w:rPr>
        <w:t>Kırmızı</w:t>
      </w:r>
      <w:r w:rsidRPr="00C8136B">
        <w:rPr>
          <w:rFonts w:ascii="Cambria" w:hAnsi="Cambria"/>
        </w:rPr>
        <w:t xml:space="preserve"> olarak belirtilen yerler yapılan değişiklikleri veya eklenen maddeleri göstermektedir. </w:t>
      </w:r>
    </w:p>
    <w:p w:rsidR="00BE3E80" w:rsidRDefault="00C8136B" w:rsidP="005B0C52">
      <w:pPr>
        <w:pStyle w:val="AralkYok"/>
        <w:rPr>
          <w:rFonts w:ascii="Cambria" w:hAnsi="Cambria"/>
          <w:b/>
          <w:bCs/>
          <w:color w:val="002060"/>
        </w:rPr>
      </w:pPr>
      <w:r w:rsidRPr="00C8136B">
        <w:rPr>
          <w:rFonts w:ascii="Cambria" w:hAnsi="Cambria"/>
        </w:rPr>
        <w:t>-</w:t>
      </w:r>
      <w:r w:rsidRPr="00C8136B">
        <w:rPr>
          <w:rFonts w:ascii="Cambria" w:hAnsi="Cambria"/>
          <w:b/>
          <w:strike/>
          <w:color w:val="FF0000"/>
        </w:rPr>
        <w:t>Kırmızı Çizili</w:t>
      </w:r>
      <w:r w:rsidRPr="00C8136B">
        <w:rPr>
          <w:rFonts w:ascii="Cambria" w:hAnsi="Cambria"/>
          <w:color w:val="FF0000"/>
        </w:rPr>
        <w:t xml:space="preserve"> </w:t>
      </w:r>
      <w:r w:rsidRPr="00C8136B">
        <w:rPr>
          <w:rFonts w:ascii="Cambria" w:hAnsi="Cambria"/>
        </w:rPr>
        <w:t xml:space="preserve">olarak belirtilen yerler </w:t>
      </w:r>
      <w:r>
        <w:rPr>
          <w:rFonts w:ascii="Cambria" w:hAnsi="Cambria"/>
        </w:rPr>
        <w:t>yönetmelikten</w:t>
      </w:r>
      <w:bookmarkStart w:id="0" w:name="_GoBack"/>
      <w:bookmarkEnd w:id="0"/>
      <w:r w:rsidRPr="00C8136B">
        <w:rPr>
          <w:rFonts w:ascii="Cambria" w:hAnsi="Cambria"/>
        </w:rPr>
        <w:t xml:space="preserve"> çıkartılmıştır</w:t>
      </w:r>
      <w:r>
        <w:t>.</w:t>
      </w:r>
    </w:p>
    <w:p w:rsidR="00595D0A" w:rsidRDefault="00595D0A"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F478AB" w:rsidRPr="00116355" w:rsidRDefault="00F478AB" w:rsidP="00F478AB">
      <w:pPr>
        <w:rPr>
          <w:rFonts w:ascii="Cambria" w:hAnsi="Cambria"/>
        </w:rPr>
      </w:pPr>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58" w:rsidRDefault="00ED7358" w:rsidP="00534F7F">
      <w:pPr>
        <w:spacing w:after="0" w:line="240" w:lineRule="auto"/>
      </w:pPr>
      <w:r>
        <w:separator/>
      </w:r>
    </w:p>
  </w:endnote>
  <w:endnote w:type="continuationSeparator" w:id="0">
    <w:p w:rsidR="00ED7358" w:rsidRDefault="00ED7358"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A40DA4">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A40DA4">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58" w:rsidRDefault="00ED7358" w:rsidP="00534F7F">
      <w:pPr>
        <w:spacing w:after="0" w:line="240" w:lineRule="auto"/>
      </w:pPr>
      <w:r>
        <w:separator/>
      </w:r>
    </w:p>
  </w:footnote>
  <w:footnote w:type="continuationSeparator" w:id="0">
    <w:p w:rsidR="00ED7358" w:rsidRDefault="00ED7358"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116355"/>
    <w:rsid w:val="001368C2"/>
    <w:rsid w:val="0015666B"/>
    <w:rsid w:val="00164950"/>
    <w:rsid w:val="001F16FF"/>
    <w:rsid w:val="0020508C"/>
    <w:rsid w:val="00271BDB"/>
    <w:rsid w:val="002F0FD6"/>
    <w:rsid w:val="00322432"/>
    <w:rsid w:val="003230A8"/>
    <w:rsid w:val="003C0F72"/>
    <w:rsid w:val="003D72D5"/>
    <w:rsid w:val="00406E3A"/>
    <w:rsid w:val="004232E9"/>
    <w:rsid w:val="00437CF7"/>
    <w:rsid w:val="004B24B6"/>
    <w:rsid w:val="00534F7F"/>
    <w:rsid w:val="00561AEB"/>
    <w:rsid w:val="00587671"/>
    <w:rsid w:val="00595D0A"/>
    <w:rsid w:val="005B0C52"/>
    <w:rsid w:val="005B25C0"/>
    <w:rsid w:val="006319F6"/>
    <w:rsid w:val="00634E90"/>
    <w:rsid w:val="0064705C"/>
    <w:rsid w:val="00846AD8"/>
    <w:rsid w:val="008B1B67"/>
    <w:rsid w:val="00900183"/>
    <w:rsid w:val="00925B46"/>
    <w:rsid w:val="009A0B72"/>
    <w:rsid w:val="00A40DA4"/>
    <w:rsid w:val="00A5214F"/>
    <w:rsid w:val="00BE3E80"/>
    <w:rsid w:val="00C8136B"/>
    <w:rsid w:val="00CC3E17"/>
    <w:rsid w:val="00CF5DBC"/>
    <w:rsid w:val="00D00CA5"/>
    <w:rsid w:val="00D04D2D"/>
    <w:rsid w:val="00D23B84"/>
    <w:rsid w:val="00E63D92"/>
    <w:rsid w:val="00EB72A7"/>
    <w:rsid w:val="00ED7358"/>
    <w:rsid w:val="00F478AB"/>
    <w:rsid w:val="00F66833"/>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5338"/>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0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2</cp:revision>
  <dcterms:created xsi:type="dcterms:W3CDTF">2021-04-15T21:27:00Z</dcterms:created>
  <dcterms:modified xsi:type="dcterms:W3CDTF">2021-04-15T21:27:00Z</dcterms:modified>
</cp:coreProperties>
</file>