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78" w:type="dxa"/>
          </w:tcPr>
          <w:p w:rsidR="00714096" w:rsidRPr="0012131F" w:rsidRDefault="00952BC7" w:rsidP="00FF4E0C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Dekanlık 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:rsidR="00714096" w:rsidRPr="0012131F" w:rsidRDefault="00952BC7" w:rsidP="00DD12B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  <w:r w:rsidR="00FF4E0C">
              <w:rPr>
                <w:rFonts w:ascii="Cambria" w:hAnsi="Cambria"/>
              </w:rPr>
              <w:t xml:space="preserve"> Yardımcısı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947419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En Yakın Yönetici</w:t>
            </w:r>
          </w:p>
        </w:tc>
        <w:tc>
          <w:tcPr>
            <w:tcW w:w="6378" w:type="dxa"/>
          </w:tcPr>
          <w:p w:rsidR="00714096" w:rsidRPr="0012131F" w:rsidRDefault="00B24AEE" w:rsidP="00E901D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:rsidR="00714096" w:rsidRPr="0012131F" w:rsidRDefault="005641FD" w:rsidP="001F457B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 Yardımcısı</w:t>
            </w:r>
          </w:p>
        </w:tc>
      </w:tr>
    </w:tbl>
    <w:p w:rsidR="00714096" w:rsidRPr="0012131F" w:rsidRDefault="00714096" w:rsidP="00714096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12131F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714096" w:rsidRPr="0012131F" w:rsidTr="00714096">
        <w:tc>
          <w:tcPr>
            <w:tcW w:w="9634" w:type="dxa"/>
            <w:shd w:val="clear" w:color="auto" w:fill="FFFFFF" w:themeFill="background1"/>
          </w:tcPr>
          <w:p w:rsidR="00714096" w:rsidRPr="0012131F" w:rsidRDefault="00714096" w:rsidP="00E90DFF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  <w:p w:rsidR="002270D8" w:rsidRDefault="007A3EE6" w:rsidP="002270D8">
            <w:pPr>
              <w:pStyle w:val="AralkYok"/>
              <w:ind w:left="22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Bartın Üniversitesi üst yönetimi tarafından belirlenen amaç ve ilkelere uygun olarak; birimin tüm faaliyetleri</w:t>
            </w:r>
            <w:r>
              <w:rPr>
                <w:rFonts w:ascii="Cambria" w:hAnsi="Cambria"/>
              </w:rPr>
              <w:t xml:space="preserve"> ile ilgili</w:t>
            </w:r>
            <w:r w:rsidRPr="0012131F">
              <w:rPr>
                <w:rFonts w:ascii="Cambria" w:hAnsi="Cambria"/>
              </w:rPr>
              <w:t>, etkenlik ve verimlilik ilkelerine uygun olarak yürütülmesi amacıyla</w:t>
            </w:r>
            <w:r>
              <w:rPr>
                <w:rFonts w:ascii="Cambria" w:hAnsi="Cambria"/>
              </w:rPr>
              <w:t xml:space="preserve"> çalışmalar yapmak. F</w:t>
            </w:r>
            <w:r w:rsidR="002270D8" w:rsidRPr="00E90DFF">
              <w:rPr>
                <w:rFonts w:ascii="Cambria" w:hAnsi="Cambria"/>
              </w:rPr>
              <w:t>akültenin vizyonu, misyonu doğrultusunda eğitim ve öğretimi gerçekleştirmek için çalışmaları yapmak, planlamak, yönlendirme</w:t>
            </w:r>
            <w:r w:rsidR="002270D8">
              <w:rPr>
                <w:rFonts w:ascii="Cambria" w:hAnsi="Cambria"/>
              </w:rPr>
              <w:t>k, koordine etmek ve denetlemeler hususunda Dekana yardımcı olmak, yokluğunda yerine vekâlet etmek.</w:t>
            </w:r>
          </w:p>
          <w:p w:rsidR="00207A80" w:rsidRPr="0012131F" w:rsidRDefault="00E90DFF" w:rsidP="00E90DFF">
            <w:pPr>
              <w:pStyle w:val="AralkYok"/>
              <w:ind w:left="22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 xml:space="preserve"> </w:t>
            </w:r>
          </w:p>
        </w:tc>
      </w:tr>
    </w:tbl>
    <w:p w:rsidR="00714096" w:rsidRPr="0012131F" w:rsidRDefault="00714096" w:rsidP="00714096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  <w:gridCol w:w="6"/>
      </w:tblGrid>
      <w:tr w:rsidR="00714096" w:rsidRPr="0012131F" w:rsidTr="0031037F">
        <w:tc>
          <w:tcPr>
            <w:tcW w:w="9634" w:type="dxa"/>
            <w:gridSpan w:val="3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714096" w:rsidRPr="0012131F" w:rsidTr="0031037F">
        <w:tc>
          <w:tcPr>
            <w:tcW w:w="9634" w:type="dxa"/>
            <w:gridSpan w:val="3"/>
            <w:shd w:val="clear" w:color="auto" w:fill="FFFFFF" w:themeFill="background1"/>
          </w:tcPr>
          <w:p w:rsidR="00146827" w:rsidRDefault="00146827" w:rsidP="00146827">
            <w:pPr>
              <w:pStyle w:val="AralkYok"/>
              <w:ind w:left="742"/>
              <w:jc w:val="both"/>
              <w:rPr>
                <w:rFonts w:ascii="Cambria" w:hAnsi="Cambria"/>
              </w:rPr>
            </w:pP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Fakülte değerlendirme ve kalite geliştirme çalışmalarını yürütür.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Değerlendirme ve kalite geliştirme çalışmaları için standartların belirlenmesini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Değerlendirme ve kalite geliştirme çalışmaları için kurulların oluşturulmasını ve çalışmalarını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Değerlendirme ve kalite geliştirme çalışmalarının yıllık raporlarını hazırlar ve Dekanlığa sunar.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Fakültede yürütülen programların çıktı yeterliliklerinin belirlenmesini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Fakültenin öz değerlendirme raporunu hazırlar.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Fakültenin stratejik planını hazırlar.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Belirlenen standartların kalitesinin geliştirilmesini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Fakültemizdeki programların akredite edilmesi için gerekli çalışmaları yapar.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Fakültemizdeki programların akredite edilmesi için gelen Akreditasyon ziyaret ekibinin programını hazırlar ve yürütür.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Öğretim elemanlarına “Öğretim Süreci Değerlendirme Anketlerinin” uygulanmasını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Öğrencilerin Fakülteyi değerlendirme anketlerini hazırlar ve uygulanmasını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Eğitim-öğretim ve araştırmalarla ilgili politikalar ve stratejiler geliştirir.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Öğrenci konseyi ve temsilciliği için gerekli olan seçimleri yapar.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Dilek ve öneri kutularının düzenli olarak açılmasını ve değerlendirmesini yapar.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Her eğitim-öğretim yılı sonunda yapılacak olan Akademik Genel Kurul sunularını hazırlar.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Fakültede öğretim üyeleri tarafından yürütülen projeleri takip eder.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Fakülte kütüphanesinin zenginleştirilmesini ve düzenli bir biçimde hizmet sunmasını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Derslik kapı programları ile öğretim elemanı kapı programlarının hazırlanmasını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Öğretim elemanlarının derslerini düzenli olarak yapmalarını sağlar.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Ders ücret formlarının düzenlenmesini sağlar ve kontrol eder.</w:t>
            </w:r>
          </w:p>
          <w:p w:rsidR="002270D8" w:rsidRPr="00853CB0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Dekan olmadığı zamanlarda Dekanlığa vekâlet eder.</w:t>
            </w:r>
          </w:p>
          <w:p w:rsidR="0031037F" w:rsidRPr="00614C14" w:rsidRDefault="0031037F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614C14">
              <w:rPr>
                <w:rFonts w:ascii="Cambria" w:hAnsi="Cambria"/>
              </w:rPr>
              <w:t>Görevi ile ilgili süreçleri Üniversitemiz Kalite Politikası ve Kalite Yönetim Sistemi çerçevesinde, kalite hedefleri ve prosedürlerine uygun olarak yürütmek</w:t>
            </w:r>
            <w:r>
              <w:rPr>
                <w:rFonts w:ascii="Cambria" w:hAnsi="Cambria"/>
              </w:rPr>
              <w:t>,</w:t>
            </w:r>
          </w:p>
          <w:p w:rsidR="0031037F" w:rsidRDefault="0031037F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614C14">
              <w:rPr>
                <w:rFonts w:ascii="Cambria" w:hAnsi="Cambria"/>
              </w:rPr>
              <w:t>Bağlı bulunduğu yönetici veya üst yöneticilerin, görev alanı ile ilgili vereceği diğer işleri iş sağlığı ve güvenliği kurallarına uygun olarak yapmak,</w:t>
            </w:r>
          </w:p>
          <w:p w:rsidR="00754174" w:rsidRPr="002C05F1" w:rsidRDefault="002270D8" w:rsidP="0031037F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</w:rPr>
            </w:pPr>
            <w:r w:rsidRPr="00853CB0">
              <w:rPr>
                <w:rFonts w:ascii="Cambria" w:hAnsi="Cambria"/>
              </w:rPr>
              <w:t>Dekan</w:t>
            </w:r>
            <w:r>
              <w:rPr>
                <w:rFonts w:ascii="Cambria" w:hAnsi="Cambria"/>
              </w:rPr>
              <w:t xml:space="preserve"> Yardımcısı</w:t>
            </w:r>
            <w:r w:rsidRPr="00853CB0">
              <w:rPr>
                <w:rFonts w:ascii="Cambria" w:hAnsi="Cambria"/>
              </w:rPr>
              <w:t xml:space="preserve">, yukarıda yazılı olan bütün bu görevleri kanunlara ve yönetmeliklere uygun olarak yerine getirirken </w:t>
            </w:r>
            <w:r>
              <w:rPr>
                <w:rFonts w:ascii="Cambria" w:hAnsi="Cambria"/>
              </w:rPr>
              <w:t>Dekana</w:t>
            </w:r>
            <w:r w:rsidRPr="00853CB0">
              <w:rPr>
                <w:rFonts w:ascii="Cambria" w:hAnsi="Cambria"/>
              </w:rPr>
              <w:t xml:space="preserve"> karşı sorumludur. </w:t>
            </w:r>
          </w:p>
        </w:tc>
      </w:tr>
      <w:tr w:rsidR="00033FAA" w:rsidRPr="0012131F" w:rsidTr="0031037F">
        <w:trPr>
          <w:gridAfter w:val="1"/>
          <w:wAfter w:w="6" w:type="dxa"/>
        </w:trPr>
        <w:tc>
          <w:tcPr>
            <w:tcW w:w="4814" w:type="dxa"/>
            <w:shd w:val="clear" w:color="auto" w:fill="F2F2F2" w:themeFill="background1" w:themeFillShade="F2"/>
          </w:tcPr>
          <w:p w:rsidR="00033FAA" w:rsidRPr="0012131F" w:rsidRDefault="00810A48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033FAA" w:rsidRPr="0012131F" w:rsidTr="0031037F">
        <w:trPr>
          <w:gridAfter w:val="1"/>
          <w:wAfter w:w="6" w:type="dxa"/>
        </w:trPr>
        <w:tc>
          <w:tcPr>
            <w:tcW w:w="4814" w:type="dxa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Bu dokümanda açıklanan görev tanımını okudum, yerine getirmeyi kabul ve taahhüt ederim.</w:t>
            </w:r>
          </w:p>
        </w:tc>
        <w:tc>
          <w:tcPr>
            <w:tcW w:w="4814" w:type="dxa"/>
            <w:vMerge w:val="restart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6325A7" w:rsidRPr="0012131F" w:rsidRDefault="006325A7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… / … / 2019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Ad-Soyad</w:t>
            </w: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033FAA" w:rsidRPr="0012131F" w:rsidTr="0031037F">
        <w:trPr>
          <w:gridAfter w:val="1"/>
          <w:wAfter w:w="6" w:type="dxa"/>
        </w:trPr>
        <w:tc>
          <w:tcPr>
            <w:tcW w:w="4814" w:type="dxa"/>
          </w:tcPr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lastRenderedPageBreak/>
              <w:t>… / … / 2019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Ad-Soyad</w:t>
            </w: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131F">
              <w:rPr>
                <w:rFonts w:ascii="Cambria" w:hAnsi="Cambria"/>
                <w:b/>
                <w:color w:val="002060"/>
              </w:rPr>
              <w:t>İmza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4814" w:type="dxa"/>
            <w:vMerge/>
          </w:tcPr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</w:tc>
      </w:tr>
    </w:tbl>
    <w:p w:rsidR="00033FAA" w:rsidRPr="0012131F" w:rsidRDefault="00033FAA" w:rsidP="00714096">
      <w:pPr>
        <w:pStyle w:val="AralkYok"/>
        <w:rPr>
          <w:rFonts w:ascii="Cambria" w:hAnsi="Cambria"/>
        </w:rPr>
      </w:pPr>
    </w:p>
    <w:p w:rsidR="00E35C41" w:rsidRDefault="00E35C4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5C41" w:rsidRDefault="00E35C4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83CD5" w:rsidRDefault="00D83CD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5C41" w:rsidRDefault="00E35C4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C385C" w:rsidRDefault="001C385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C385C" w:rsidRDefault="001C385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E2587" w:rsidRDefault="00EE258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E2587" w:rsidRDefault="00EE258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74CBA" w:rsidRDefault="00274CB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D371E" w:rsidRDefault="001D371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E2587" w:rsidRDefault="00EE258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E2587" w:rsidRDefault="00EE258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B6993" w:rsidRDefault="00AB699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B6993" w:rsidRDefault="00AB699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B6993" w:rsidRDefault="00AB699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E2587" w:rsidRDefault="00EE258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270D8" w:rsidRDefault="002270D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270D8" w:rsidRDefault="002270D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270D8" w:rsidRDefault="002270D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270D8" w:rsidRDefault="002270D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270D8" w:rsidRDefault="002270D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54008" w:rsidRPr="0012131F" w:rsidRDefault="00A5400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12131F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12131F">
        <w:rPr>
          <w:rFonts w:ascii="Cambria" w:hAnsi="Cambria"/>
          <w:b/>
          <w:bCs/>
          <w:color w:val="002060"/>
        </w:rPr>
        <w:t>REVİZYON BİLGİLERİ</w:t>
      </w:r>
    </w:p>
    <w:p w:rsidR="00BC7571" w:rsidRPr="0012131F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12131F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</w:t>
            </w:r>
          </w:p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</w:t>
            </w:r>
          </w:p>
          <w:p w:rsidR="00BC7571" w:rsidRPr="0012131F" w:rsidRDefault="00BC7571" w:rsidP="001F457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12131F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12131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İlk yayın.</w:t>
            </w:r>
          </w:p>
        </w:tc>
      </w:tr>
    </w:tbl>
    <w:p w:rsidR="00BC7571" w:rsidRPr="0012131F" w:rsidRDefault="00BC7571" w:rsidP="00BC7571">
      <w:pPr>
        <w:pStyle w:val="AralkYok"/>
        <w:rPr>
          <w:rFonts w:ascii="Cambria" w:hAnsi="Cambria"/>
        </w:rPr>
      </w:pPr>
    </w:p>
    <w:p w:rsidR="00BC7571" w:rsidRPr="0012131F" w:rsidRDefault="00BC7571" w:rsidP="00BC7571">
      <w:pPr>
        <w:pStyle w:val="AralkYok"/>
        <w:rPr>
          <w:rFonts w:ascii="Cambria" w:hAnsi="Cambria"/>
        </w:rPr>
      </w:pPr>
    </w:p>
    <w:sectPr w:rsidR="00BC7571" w:rsidRPr="0012131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90" w:rsidRDefault="00E30D90" w:rsidP="00534F7F">
      <w:r>
        <w:separator/>
      </w:r>
    </w:p>
  </w:endnote>
  <w:endnote w:type="continuationSeparator" w:id="0">
    <w:p w:rsidR="00E30D90" w:rsidRDefault="00E30D90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44" w:rsidRDefault="00DA0C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7B" w:rsidRDefault="001F457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F457B" w:rsidRPr="0081560B" w:rsidTr="004023B0">
      <w:trPr>
        <w:trHeight w:val="559"/>
      </w:trPr>
      <w:tc>
        <w:tcPr>
          <w:tcW w:w="666" w:type="dxa"/>
        </w:tcPr>
        <w:p w:rsidR="001F457B" w:rsidRPr="00C4163E" w:rsidRDefault="001F457B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F457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F457B" w:rsidRPr="00171789" w:rsidRDefault="001F45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F457B" w:rsidRPr="00171789" w:rsidRDefault="001F45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F457B" w:rsidRPr="0081560B" w:rsidRDefault="001F45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1F457B" w:rsidRPr="0081560B" w:rsidRDefault="001F45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B69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B69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1F457B" w:rsidRDefault="001F457B" w:rsidP="004023B0">
    <w:pPr>
      <w:pStyle w:val="AltBilgi"/>
      <w:rPr>
        <w:sz w:val="6"/>
        <w:szCs w:val="6"/>
      </w:rPr>
    </w:pPr>
  </w:p>
  <w:p w:rsidR="001F457B" w:rsidRPr="000C04CC" w:rsidRDefault="001F457B" w:rsidP="004023B0">
    <w:pPr>
      <w:pStyle w:val="AltBilgi"/>
      <w:rPr>
        <w:i/>
        <w:sz w:val="16"/>
        <w:szCs w:val="16"/>
      </w:rPr>
    </w:pPr>
    <w:r w:rsidRPr="000C04CC">
      <w:rPr>
        <w:i/>
        <w:sz w:val="16"/>
        <w:szCs w:val="16"/>
      </w:rPr>
      <w:t>(Form No: FRM-0008, Revizyon Tarihi: -, Revizyon No:</w:t>
    </w:r>
    <w:r>
      <w:rPr>
        <w:i/>
        <w:sz w:val="16"/>
        <w:szCs w:val="16"/>
      </w:rPr>
      <w:t xml:space="preserve"> </w:t>
    </w:r>
    <w:r w:rsidRPr="000C04CC">
      <w:rPr>
        <w:i/>
        <w:sz w:val="16"/>
        <w:szCs w:val="16"/>
      </w:rPr>
      <w:t>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44" w:rsidRDefault="00DA0C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90" w:rsidRDefault="00E30D90" w:rsidP="00534F7F">
      <w:r>
        <w:separator/>
      </w:r>
    </w:p>
  </w:footnote>
  <w:footnote w:type="continuationSeparator" w:id="0">
    <w:p w:rsidR="00E30D90" w:rsidRDefault="00E30D90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44" w:rsidRDefault="00DA0C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1F457B" w:rsidTr="00715C4E">
      <w:trPr>
        <w:trHeight w:val="189"/>
      </w:trPr>
      <w:tc>
        <w:tcPr>
          <w:tcW w:w="2547" w:type="dxa"/>
          <w:vMerge w:val="restart"/>
        </w:tcPr>
        <w:p w:rsidR="001F457B" w:rsidRDefault="001F457B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F457B" w:rsidRPr="00682A32" w:rsidRDefault="001F457B" w:rsidP="00682A32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682A32">
            <w:rPr>
              <w:rFonts w:ascii="Cambria" w:hAnsi="Cambria"/>
              <w:b/>
              <w:color w:val="002060"/>
            </w:rPr>
            <w:t>GÖREV VE SORUMLULUK</w:t>
          </w:r>
        </w:p>
        <w:p w:rsidR="001F457B" w:rsidRPr="0092378E" w:rsidRDefault="001F457B" w:rsidP="00682A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682A3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33736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GRT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840467"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FF4E0C">
            <w:rPr>
              <w:rFonts w:ascii="Cambria" w:hAnsi="Cambria"/>
              <w:color w:val="002060"/>
              <w:sz w:val="16"/>
              <w:szCs w:val="16"/>
            </w:rPr>
            <w:t>9</w:t>
          </w:r>
        </w:p>
      </w:tc>
    </w:tr>
    <w:tr w:rsidR="001F457B" w:rsidTr="00715C4E">
      <w:trPr>
        <w:trHeight w:val="187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B146E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1F457B" w:rsidTr="00715C4E">
      <w:trPr>
        <w:trHeight w:val="187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F457B" w:rsidTr="00715C4E">
      <w:trPr>
        <w:trHeight w:val="220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1F457B" w:rsidRPr="004023B0" w:rsidRDefault="001F457B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44" w:rsidRDefault="00DA0C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AC1AAA"/>
    <w:multiLevelType w:val="hybridMultilevel"/>
    <w:tmpl w:val="5D5607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7A8175DD"/>
    <w:multiLevelType w:val="hybridMultilevel"/>
    <w:tmpl w:val="D16CC68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15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06BD"/>
    <w:rsid w:val="00010BAA"/>
    <w:rsid w:val="00033FAA"/>
    <w:rsid w:val="00061C19"/>
    <w:rsid w:val="000650D3"/>
    <w:rsid w:val="000C04CC"/>
    <w:rsid w:val="00104233"/>
    <w:rsid w:val="0012131F"/>
    <w:rsid w:val="0013037B"/>
    <w:rsid w:val="00146827"/>
    <w:rsid w:val="00150110"/>
    <w:rsid w:val="00163C7F"/>
    <w:rsid w:val="00164950"/>
    <w:rsid w:val="0016547C"/>
    <w:rsid w:val="00167ACC"/>
    <w:rsid w:val="00172ADA"/>
    <w:rsid w:val="001842CA"/>
    <w:rsid w:val="00197CE6"/>
    <w:rsid w:val="001C153C"/>
    <w:rsid w:val="001C1597"/>
    <w:rsid w:val="001C2C4E"/>
    <w:rsid w:val="001C385C"/>
    <w:rsid w:val="001D281B"/>
    <w:rsid w:val="001D371E"/>
    <w:rsid w:val="001E4576"/>
    <w:rsid w:val="001F457B"/>
    <w:rsid w:val="001F6791"/>
    <w:rsid w:val="00207A80"/>
    <w:rsid w:val="002270D8"/>
    <w:rsid w:val="0023302F"/>
    <w:rsid w:val="00236E1E"/>
    <w:rsid w:val="0026786F"/>
    <w:rsid w:val="0027292B"/>
    <w:rsid w:val="00274CBA"/>
    <w:rsid w:val="0029374A"/>
    <w:rsid w:val="00296852"/>
    <w:rsid w:val="002B2944"/>
    <w:rsid w:val="002B3AA0"/>
    <w:rsid w:val="002B4786"/>
    <w:rsid w:val="002C05F1"/>
    <w:rsid w:val="002C0A2B"/>
    <w:rsid w:val="002E7330"/>
    <w:rsid w:val="00304EAB"/>
    <w:rsid w:val="0031037F"/>
    <w:rsid w:val="0032238E"/>
    <w:rsid w:val="003230A8"/>
    <w:rsid w:val="003303FE"/>
    <w:rsid w:val="0033736D"/>
    <w:rsid w:val="00341062"/>
    <w:rsid w:val="003617EF"/>
    <w:rsid w:val="00393BCE"/>
    <w:rsid w:val="003A1F30"/>
    <w:rsid w:val="003C2817"/>
    <w:rsid w:val="00400B04"/>
    <w:rsid w:val="004023B0"/>
    <w:rsid w:val="00406E87"/>
    <w:rsid w:val="00441FEB"/>
    <w:rsid w:val="0044324F"/>
    <w:rsid w:val="00465E9A"/>
    <w:rsid w:val="004730F6"/>
    <w:rsid w:val="004A1877"/>
    <w:rsid w:val="004A4CDC"/>
    <w:rsid w:val="004D0318"/>
    <w:rsid w:val="004D6EB8"/>
    <w:rsid w:val="004F27F3"/>
    <w:rsid w:val="005332AB"/>
    <w:rsid w:val="00534F7F"/>
    <w:rsid w:val="00537423"/>
    <w:rsid w:val="00544A37"/>
    <w:rsid w:val="00551B24"/>
    <w:rsid w:val="0055738B"/>
    <w:rsid w:val="005641FD"/>
    <w:rsid w:val="00564EDC"/>
    <w:rsid w:val="00565BFA"/>
    <w:rsid w:val="00586A9C"/>
    <w:rsid w:val="005B03FF"/>
    <w:rsid w:val="005B3B02"/>
    <w:rsid w:val="005B5AD0"/>
    <w:rsid w:val="005B6D4E"/>
    <w:rsid w:val="006040B2"/>
    <w:rsid w:val="006068F4"/>
    <w:rsid w:val="00615EB2"/>
    <w:rsid w:val="0061636C"/>
    <w:rsid w:val="0062150D"/>
    <w:rsid w:val="00627720"/>
    <w:rsid w:val="006325A7"/>
    <w:rsid w:val="006355A1"/>
    <w:rsid w:val="00635A92"/>
    <w:rsid w:val="006364A5"/>
    <w:rsid w:val="0064705C"/>
    <w:rsid w:val="00647DFA"/>
    <w:rsid w:val="00651747"/>
    <w:rsid w:val="00682605"/>
    <w:rsid w:val="00682A32"/>
    <w:rsid w:val="006C40E1"/>
    <w:rsid w:val="006C7D11"/>
    <w:rsid w:val="006D3B1F"/>
    <w:rsid w:val="006D6E8B"/>
    <w:rsid w:val="006E6192"/>
    <w:rsid w:val="0070372C"/>
    <w:rsid w:val="00706420"/>
    <w:rsid w:val="00710630"/>
    <w:rsid w:val="00714096"/>
    <w:rsid w:val="00715C4E"/>
    <w:rsid w:val="00726038"/>
    <w:rsid w:val="007266A2"/>
    <w:rsid w:val="007304E0"/>
    <w:rsid w:val="0073606C"/>
    <w:rsid w:val="00736779"/>
    <w:rsid w:val="00747DD0"/>
    <w:rsid w:val="00754174"/>
    <w:rsid w:val="0075616C"/>
    <w:rsid w:val="00762EA3"/>
    <w:rsid w:val="00775EA7"/>
    <w:rsid w:val="00775F29"/>
    <w:rsid w:val="00776087"/>
    <w:rsid w:val="0079374A"/>
    <w:rsid w:val="007A3EE6"/>
    <w:rsid w:val="007A7DBB"/>
    <w:rsid w:val="007B0CFD"/>
    <w:rsid w:val="007D1C4E"/>
    <w:rsid w:val="007D4382"/>
    <w:rsid w:val="007D55FA"/>
    <w:rsid w:val="007E210F"/>
    <w:rsid w:val="00803617"/>
    <w:rsid w:val="00805579"/>
    <w:rsid w:val="00810A48"/>
    <w:rsid w:val="00830A95"/>
    <w:rsid w:val="00840467"/>
    <w:rsid w:val="0086003A"/>
    <w:rsid w:val="008853A8"/>
    <w:rsid w:val="008C4974"/>
    <w:rsid w:val="008C6E2F"/>
    <w:rsid w:val="008D371C"/>
    <w:rsid w:val="008D57AB"/>
    <w:rsid w:val="008E478D"/>
    <w:rsid w:val="008E591A"/>
    <w:rsid w:val="008E7722"/>
    <w:rsid w:val="0093327A"/>
    <w:rsid w:val="0094289F"/>
    <w:rsid w:val="00947419"/>
    <w:rsid w:val="00952BC7"/>
    <w:rsid w:val="00966126"/>
    <w:rsid w:val="0096625E"/>
    <w:rsid w:val="00966A44"/>
    <w:rsid w:val="009B6181"/>
    <w:rsid w:val="009C1368"/>
    <w:rsid w:val="009E07BF"/>
    <w:rsid w:val="00A125A4"/>
    <w:rsid w:val="00A17E50"/>
    <w:rsid w:val="00A22546"/>
    <w:rsid w:val="00A22889"/>
    <w:rsid w:val="00A23674"/>
    <w:rsid w:val="00A354CE"/>
    <w:rsid w:val="00A45E0C"/>
    <w:rsid w:val="00A54008"/>
    <w:rsid w:val="00A75555"/>
    <w:rsid w:val="00A83390"/>
    <w:rsid w:val="00A97B30"/>
    <w:rsid w:val="00AA5BEE"/>
    <w:rsid w:val="00AB6993"/>
    <w:rsid w:val="00AC58EE"/>
    <w:rsid w:val="00AE4216"/>
    <w:rsid w:val="00B06EC8"/>
    <w:rsid w:val="00B146E9"/>
    <w:rsid w:val="00B23E4A"/>
    <w:rsid w:val="00B24AEE"/>
    <w:rsid w:val="00B35746"/>
    <w:rsid w:val="00B35F09"/>
    <w:rsid w:val="00B6421D"/>
    <w:rsid w:val="00B81B21"/>
    <w:rsid w:val="00B834F2"/>
    <w:rsid w:val="00B912E6"/>
    <w:rsid w:val="00B936DF"/>
    <w:rsid w:val="00B94075"/>
    <w:rsid w:val="00BB1E65"/>
    <w:rsid w:val="00BB3754"/>
    <w:rsid w:val="00BB7297"/>
    <w:rsid w:val="00BC7571"/>
    <w:rsid w:val="00BC7F23"/>
    <w:rsid w:val="00BF54D2"/>
    <w:rsid w:val="00C04787"/>
    <w:rsid w:val="00C305C2"/>
    <w:rsid w:val="00C32325"/>
    <w:rsid w:val="00C34C44"/>
    <w:rsid w:val="00C35406"/>
    <w:rsid w:val="00C47689"/>
    <w:rsid w:val="00C53C77"/>
    <w:rsid w:val="00CB6A3F"/>
    <w:rsid w:val="00CD1909"/>
    <w:rsid w:val="00D1112B"/>
    <w:rsid w:val="00D23714"/>
    <w:rsid w:val="00D3465A"/>
    <w:rsid w:val="00D34F0E"/>
    <w:rsid w:val="00D35A4A"/>
    <w:rsid w:val="00D61027"/>
    <w:rsid w:val="00D65310"/>
    <w:rsid w:val="00D675A4"/>
    <w:rsid w:val="00D83CD5"/>
    <w:rsid w:val="00DA0C44"/>
    <w:rsid w:val="00DB2E18"/>
    <w:rsid w:val="00DD12B3"/>
    <w:rsid w:val="00DD308E"/>
    <w:rsid w:val="00DD3517"/>
    <w:rsid w:val="00DD51A4"/>
    <w:rsid w:val="00DE498A"/>
    <w:rsid w:val="00DE7DA1"/>
    <w:rsid w:val="00E03E32"/>
    <w:rsid w:val="00E10203"/>
    <w:rsid w:val="00E10785"/>
    <w:rsid w:val="00E13F11"/>
    <w:rsid w:val="00E30D90"/>
    <w:rsid w:val="00E3436C"/>
    <w:rsid w:val="00E35C41"/>
    <w:rsid w:val="00E36113"/>
    <w:rsid w:val="00E44F51"/>
    <w:rsid w:val="00E522EB"/>
    <w:rsid w:val="00E57AA7"/>
    <w:rsid w:val="00E87FEE"/>
    <w:rsid w:val="00E901D8"/>
    <w:rsid w:val="00E90DFF"/>
    <w:rsid w:val="00EA2676"/>
    <w:rsid w:val="00EA6040"/>
    <w:rsid w:val="00EB6D6B"/>
    <w:rsid w:val="00EC0A1D"/>
    <w:rsid w:val="00ED61D4"/>
    <w:rsid w:val="00EE2587"/>
    <w:rsid w:val="00EE3346"/>
    <w:rsid w:val="00F06511"/>
    <w:rsid w:val="00F12E2C"/>
    <w:rsid w:val="00F139D6"/>
    <w:rsid w:val="00F220E4"/>
    <w:rsid w:val="00F33BC5"/>
    <w:rsid w:val="00F442B7"/>
    <w:rsid w:val="00F544B4"/>
    <w:rsid w:val="00F614C3"/>
    <w:rsid w:val="00F670B9"/>
    <w:rsid w:val="00FA6D95"/>
    <w:rsid w:val="00FB69AA"/>
    <w:rsid w:val="00FC06A9"/>
    <w:rsid w:val="00FC3E69"/>
    <w:rsid w:val="00FD6A9C"/>
    <w:rsid w:val="00FD6F30"/>
    <w:rsid w:val="00FF3333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B186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C05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216</cp:revision>
  <dcterms:created xsi:type="dcterms:W3CDTF">2019-02-15T12:25:00Z</dcterms:created>
  <dcterms:modified xsi:type="dcterms:W3CDTF">2023-07-13T07:25:00Z</dcterms:modified>
</cp:coreProperties>
</file>