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4"/>
        <w:gridCol w:w="457"/>
        <w:gridCol w:w="2530"/>
        <w:gridCol w:w="441"/>
        <w:gridCol w:w="2517"/>
        <w:gridCol w:w="441"/>
        <w:gridCol w:w="2580"/>
        <w:gridCol w:w="441"/>
        <w:gridCol w:w="2649"/>
      </w:tblGrid>
      <w:tr w:rsidR="006319F6" w:rsidRPr="005A2EF7" w:rsidTr="006319F6">
        <w:tc>
          <w:tcPr>
            <w:tcW w:w="2508" w:type="dxa"/>
            <w:vMerge w:val="restart"/>
            <w:shd w:val="clear" w:color="auto" w:fill="F2F2F2" w:themeFill="background1" w:themeFillShade="F2"/>
            <w:vAlign w:val="center"/>
          </w:tcPr>
          <w:p w:rsidR="006319F6" w:rsidRPr="005A2EF7" w:rsidRDefault="006319F6" w:rsidP="006319F6">
            <w:pPr>
              <w:pStyle w:val="AralkYok"/>
              <w:jc w:val="right"/>
              <w:rPr>
                <w:rFonts w:ascii="Cambria" w:hAnsi="Cambria"/>
                <w:b/>
                <w:bCs/>
                <w:color w:val="002060"/>
                <w:sz w:val="26"/>
                <w:szCs w:val="26"/>
              </w:rPr>
            </w:pPr>
            <w:r w:rsidRPr="005A2EF7">
              <w:rPr>
                <w:rFonts w:ascii="Cambria" w:hAnsi="Cambria"/>
                <w:b/>
                <w:bCs/>
                <w:color w:val="002060"/>
                <w:sz w:val="26"/>
                <w:szCs w:val="26"/>
              </w:rPr>
              <w:t>Doküman Türü</w:t>
            </w:r>
          </w:p>
        </w:tc>
        <w:sdt>
          <w:sdtPr>
            <w:rPr>
              <w:rFonts w:ascii="Cambria" w:hAnsi="Cambria"/>
              <w:b/>
              <w:bCs/>
              <w:sz w:val="26"/>
              <w:szCs w:val="26"/>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32"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Cambria" w:hAnsi="Cambria"/>
                <w:b/>
                <w:bCs/>
                <w:sz w:val="26"/>
                <w:szCs w:val="26"/>
              </w:rPr>
              <w:t>Kanun</w:t>
            </w:r>
          </w:p>
        </w:tc>
        <w:sdt>
          <w:sdtPr>
            <w:rPr>
              <w:rFonts w:ascii="Cambria" w:hAnsi="Cambria"/>
              <w:b/>
              <w:bCs/>
              <w:sz w:val="26"/>
              <w:szCs w:val="26"/>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19"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Cambria" w:hAnsi="Cambria"/>
                <w:b/>
                <w:bCs/>
                <w:sz w:val="26"/>
                <w:szCs w:val="26"/>
              </w:rPr>
              <w:t>CB Kararnamesi</w:t>
            </w:r>
          </w:p>
        </w:tc>
        <w:sdt>
          <w:sdtPr>
            <w:rPr>
              <w:rFonts w:ascii="Cambria" w:hAnsi="Cambria"/>
              <w:b/>
              <w:bCs/>
              <w:sz w:val="26"/>
              <w:szCs w:val="26"/>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84"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Cambria" w:hAnsi="Cambria"/>
                <w:b/>
                <w:bCs/>
                <w:sz w:val="26"/>
                <w:szCs w:val="26"/>
              </w:rPr>
              <w:t>CB Kararı</w:t>
            </w:r>
          </w:p>
        </w:tc>
        <w:sdt>
          <w:sdtPr>
            <w:rPr>
              <w:rFonts w:ascii="Cambria" w:hAnsi="Cambria"/>
              <w:b/>
              <w:bCs/>
              <w:sz w:val="26"/>
              <w:szCs w:val="26"/>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5A2EF7" w:rsidRDefault="006319F6" w:rsidP="006319F6">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649" w:type="dxa"/>
            <w:tcBorders>
              <w:left w:val="nil"/>
              <w:bottom w:val="nil"/>
            </w:tcBorders>
            <w:vAlign w:val="center"/>
          </w:tcPr>
          <w:p w:rsidR="006319F6" w:rsidRPr="005A2EF7" w:rsidRDefault="006319F6" w:rsidP="006319F6">
            <w:pPr>
              <w:pStyle w:val="AralkYok"/>
              <w:rPr>
                <w:rFonts w:ascii="Cambria" w:hAnsi="Cambria"/>
                <w:b/>
                <w:bCs/>
                <w:sz w:val="26"/>
                <w:szCs w:val="26"/>
              </w:rPr>
            </w:pPr>
            <w:r w:rsidRPr="005A2EF7">
              <w:rPr>
                <w:rFonts w:ascii="Cambria" w:hAnsi="Cambria"/>
                <w:b/>
                <w:bCs/>
                <w:sz w:val="26"/>
                <w:szCs w:val="26"/>
              </w:rPr>
              <w:t>Tebliğ</w:t>
            </w:r>
          </w:p>
        </w:tc>
      </w:tr>
      <w:tr w:rsidR="006319F6" w:rsidRPr="005A2EF7" w:rsidTr="006319F6">
        <w:tc>
          <w:tcPr>
            <w:tcW w:w="2508" w:type="dxa"/>
            <w:vMerge/>
            <w:shd w:val="clear" w:color="auto" w:fill="F2F2F2" w:themeFill="background1" w:themeFillShade="F2"/>
            <w:vAlign w:val="center"/>
          </w:tcPr>
          <w:p w:rsidR="006319F6" w:rsidRPr="005A2EF7" w:rsidRDefault="006319F6" w:rsidP="004232E9">
            <w:pPr>
              <w:pStyle w:val="AralkYok"/>
              <w:jc w:val="right"/>
              <w:rPr>
                <w:rFonts w:ascii="Cambria" w:hAnsi="Cambria"/>
                <w:b/>
                <w:bCs/>
                <w:color w:val="002060"/>
                <w:sz w:val="26"/>
                <w:szCs w:val="26"/>
              </w:rPr>
            </w:pPr>
          </w:p>
        </w:tc>
        <w:sdt>
          <w:sdtPr>
            <w:rPr>
              <w:rFonts w:ascii="Cambria" w:hAnsi="Cambria"/>
              <w:b/>
              <w:bCs/>
              <w:sz w:val="26"/>
              <w:szCs w:val="26"/>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rsidR="006319F6" w:rsidRPr="005A2EF7" w:rsidRDefault="006319F6" w:rsidP="005B0C52">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32" w:type="dxa"/>
            <w:tcBorders>
              <w:top w:val="nil"/>
              <w:left w:val="nil"/>
              <w:right w:val="nil"/>
            </w:tcBorders>
            <w:vAlign w:val="center"/>
          </w:tcPr>
          <w:p w:rsidR="006319F6" w:rsidRPr="005A2EF7" w:rsidRDefault="006319F6" w:rsidP="005B0C52">
            <w:pPr>
              <w:pStyle w:val="AralkYok"/>
              <w:rPr>
                <w:rFonts w:ascii="Cambria" w:hAnsi="Cambria"/>
                <w:b/>
                <w:bCs/>
                <w:sz w:val="26"/>
                <w:szCs w:val="26"/>
              </w:rPr>
            </w:pPr>
            <w:r w:rsidRPr="005A2EF7">
              <w:rPr>
                <w:rFonts w:ascii="Cambria" w:hAnsi="Cambria"/>
                <w:b/>
                <w:bCs/>
                <w:sz w:val="26"/>
                <w:szCs w:val="26"/>
              </w:rPr>
              <w:t>Yönetmelik</w:t>
            </w:r>
          </w:p>
        </w:tc>
        <w:sdt>
          <w:sdtPr>
            <w:rPr>
              <w:rFonts w:ascii="Cambria" w:hAnsi="Cambria"/>
              <w:b/>
              <w:bCs/>
              <w:sz w:val="26"/>
              <w:szCs w:val="26"/>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5A2EF7" w:rsidRDefault="001E791F" w:rsidP="005B0C52">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19" w:type="dxa"/>
            <w:tcBorders>
              <w:top w:val="nil"/>
              <w:left w:val="nil"/>
              <w:right w:val="nil"/>
            </w:tcBorders>
            <w:vAlign w:val="center"/>
          </w:tcPr>
          <w:p w:rsidR="006319F6" w:rsidRPr="005A2EF7" w:rsidRDefault="006319F6" w:rsidP="005B0C52">
            <w:pPr>
              <w:pStyle w:val="AralkYok"/>
              <w:rPr>
                <w:rFonts w:ascii="Cambria" w:hAnsi="Cambria"/>
                <w:b/>
                <w:bCs/>
                <w:sz w:val="26"/>
                <w:szCs w:val="26"/>
              </w:rPr>
            </w:pPr>
            <w:r w:rsidRPr="005A2EF7">
              <w:rPr>
                <w:rFonts w:ascii="Cambria" w:hAnsi="Cambria"/>
                <w:b/>
                <w:bCs/>
                <w:sz w:val="26"/>
                <w:szCs w:val="26"/>
              </w:rPr>
              <w:t>Yönerge</w:t>
            </w:r>
          </w:p>
        </w:tc>
        <w:sdt>
          <w:sdtPr>
            <w:rPr>
              <w:rFonts w:ascii="Cambria" w:hAnsi="Cambria"/>
              <w:b/>
              <w:bCs/>
              <w:sz w:val="26"/>
              <w:szCs w:val="26"/>
            </w:rPr>
            <w:id w:val="-1004193508"/>
            <w14:checkbox>
              <w14:checked w14:val="1"/>
              <w14:checkedState w14:val="2612" w14:font="MS Gothic"/>
              <w14:uncheckedState w14:val="2610" w14:font="MS Gothic"/>
            </w14:checkbox>
          </w:sdtPr>
          <w:sdtEndPr/>
          <w:sdtContent>
            <w:tc>
              <w:tcPr>
                <w:tcW w:w="437" w:type="dxa"/>
                <w:tcBorders>
                  <w:top w:val="nil"/>
                  <w:left w:val="nil"/>
                  <w:right w:val="nil"/>
                </w:tcBorders>
                <w:vAlign w:val="center"/>
              </w:tcPr>
              <w:p w:rsidR="006319F6" w:rsidRPr="005A2EF7" w:rsidRDefault="001E791F" w:rsidP="005B0C52">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584" w:type="dxa"/>
            <w:tcBorders>
              <w:top w:val="nil"/>
              <w:left w:val="nil"/>
              <w:right w:val="nil"/>
            </w:tcBorders>
            <w:vAlign w:val="center"/>
          </w:tcPr>
          <w:p w:rsidR="006319F6" w:rsidRPr="005A2EF7" w:rsidRDefault="006319F6" w:rsidP="005B0C52">
            <w:pPr>
              <w:pStyle w:val="AralkYok"/>
              <w:rPr>
                <w:rFonts w:ascii="Cambria" w:hAnsi="Cambria"/>
                <w:b/>
                <w:bCs/>
                <w:sz w:val="26"/>
                <w:szCs w:val="26"/>
              </w:rPr>
            </w:pPr>
            <w:r w:rsidRPr="005A2EF7">
              <w:rPr>
                <w:rFonts w:ascii="Cambria" w:hAnsi="Cambria"/>
                <w:b/>
                <w:bCs/>
                <w:sz w:val="26"/>
                <w:szCs w:val="26"/>
              </w:rPr>
              <w:t>Esas ve Usul</w:t>
            </w:r>
          </w:p>
        </w:tc>
        <w:sdt>
          <w:sdtPr>
            <w:rPr>
              <w:rFonts w:ascii="Cambria" w:hAnsi="Cambria"/>
              <w:b/>
              <w:bCs/>
              <w:sz w:val="26"/>
              <w:szCs w:val="26"/>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5A2EF7" w:rsidRDefault="006319F6" w:rsidP="005B0C52">
                <w:pPr>
                  <w:pStyle w:val="AralkYok"/>
                  <w:rPr>
                    <w:rFonts w:ascii="Cambria" w:hAnsi="Cambria"/>
                    <w:b/>
                    <w:bCs/>
                    <w:sz w:val="26"/>
                    <w:szCs w:val="26"/>
                  </w:rPr>
                </w:pPr>
                <w:r w:rsidRPr="005A2EF7">
                  <w:rPr>
                    <w:rFonts w:ascii="Segoe UI Symbol" w:eastAsia="MS Gothic" w:hAnsi="Segoe UI Symbol" w:cs="Segoe UI Symbol"/>
                    <w:b/>
                    <w:bCs/>
                    <w:sz w:val="26"/>
                    <w:szCs w:val="26"/>
                  </w:rPr>
                  <w:t>☐</w:t>
                </w:r>
              </w:p>
            </w:tc>
          </w:sdtContent>
        </w:sdt>
        <w:tc>
          <w:tcPr>
            <w:tcW w:w="2649" w:type="dxa"/>
            <w:tcBorders>
              <w:top w:val="nil"/>
              <w:left w:val="nil"/>
            </w:tcBorders>
            <w:vAlign w:val="center"/>
          </w:tcPr>
          <w:p w:rsidR="006319F6" w:rsidRPr="005A2EF7" w:rsidRDefault="006319F6" w:rsidP="005B0C52">
            <w:pPr>
              <w:pStyle w:val="AralkYok"/>
              <w:rPr>
                <w:rFonts w:ascii="Cambria" w:hAnsi="Cambria"/>
                <w:b/>
                <w:bCs/>
                <w:sz w:val="26"/>
                <w:szCs w:val="26"/>
              </w:rPr>
            </w:pPr>
            <w:r w:rsidRPr="005A2EF7">
              <w:rPr>
                <w:rFonts w:ascii="Cambria" w:hAnsi="Cambria"/>
                <w:b/>
                <w:bCs/>
                <w:sz w:val="26"/>
                <w:szCs w:val="26"/>
              </w:rPr>
              <w:t>Sözleşme/Protokol</w:t>
            </w:r>
          </w:p>
        </w:tc>
      </w:tr>
      <w:tr w:rsidR="009A0B72" w:rsidRPr="005A2EF7" w:rsidTr="006319F6">
        <w:tc>
          <w:tcPr>
            <w:tcW w:w="2508" w:type="dxa"/>
            <w:shd w:val="clear" w:color="auto" w:fill="F2F2F2" w:themeFill="background1" w:themeFillShade="F2"/>
            <w:vAlign w:val="center"/>
          </w:tcPr>
          <w:p w:rsidR="009A0B72" w:rsidRPr="005A2EF7" w:rsidRDefault="009A0B72" w:rsidP="009A0B72">
            <w:pPr>
              <w:pStyle w:val="AralkYok"/>
              <w:jc w:val="right"/>
              <w:rPr>
                <w:rFonts w:ascii="Cambria" w:hAnsi="Cambria"/>
                <w:b/>
                <w:bCs/>
                <w:color w:val="002060"/>
                <w:sz w:val="26"/>
                <w:szCs w:val="26"/>
              </w:rPr>
            </w:pPr>
            <w:r w:rsidRPr="005A2EF7">
              <w:rPr>
                <w:rFonts w:ascii="Cambria" w:hAnsi="Cambria"/>
                <w:b/>
                <w:bCs/>
                <w:color w:val="002060"/>
                <w:sz w:val="26"/>
                <w:szCs w:val="26"/>
              </w:rPr>
              <w:t>Doküman Adı</w:t>
            </w:r>
          </w:p>
        </w:tc>
        <w:tc>
          <w:tcPr>
            <w:tcW w:w="12052" w:type="dxa"/>
            <w:gridSpan w:val="8"/>
            <w:vAlign w:val="center"/>
          </w:tcPr>
          <w:p w:rsidR="009A0B72" w:rsidRPr="005A2EF7" w:rsidRDefault="006C1A32" w:rsidP="005B0C52">
            <w:pPr>
              <w:pStyle w:val="AralkYok"/>
              <w:rPr>
                <w:rFonts w:ascii="Cambria" w:hAnsi="Cambria"/>
                <w:b/>
                <w:bCs/>
                <w:color w:val="002060"/>
                <w:sz w:val="26"/>
                <w:szCs w:val="26"/>
              </w:rPr>
            </w:pPr>
            <w:hyperlink r:id="rId6" w:history="1">
              <w:r w:rsidR="001E791F" w:rsidRPr="006C1A32">
                <w:rPr>
                  <w:rStyle w:val="Kpr"/>
                  <w:rFonts w:ascii="Cambria" w:hAnsi="Cambria"/>
                  <w:b/>
                  <w:bCs/>
                  <w:sz w:val="26"/>
                  <w:szCs w:val="26"/>
                </w:rPr>
                <w:t>Devlet Yükseköğretim Kurumlarında Doktora Sonrası Sözleşmeli Araştırmacı Çalıştırılmasına İlişkin Usul ve Esaslar</w:t>
              </w:r>
            </w:hyperlink>
            <w:bookmarkStart w:id="0" w:name="_GoBack"/>
            <w:bookmarkEnd w:id="0"/>
          </w:p>
        </w:tc>
      </w:tr>
    </w:tbl>
    <w:p w:rsidR="00BE3E80" w:rsidRPr="005A2EF7" w:rsidRDefault="00BE3E80" w:rsidP="005B0C52">
      <w:pPr>
        <w:pStyle w:val="AralkYok"/>
        <w:rPr>
          <w:rFonts w:ascii="Cambria" w:hAnsi="Cambria"/>
          <w:b/>
          <w:bCs/>
          <w:color w:val="002060"/>
          <w:sz w:val="26"/>
          <w:szCs w:val="26"/>
        </w:rPr>
      </w:pPr>
    </w:p>
    <w:tbl>
      <w:tblPr>
        <w:tblStyle w:val="TabloKlavuzuAk"/>
        <w:tblW w:w="0" w:type="auto"/>
        <w:tblLook w:val="04A0" w:firstRow="1" w:lastRow="0" w:firstColumn="1" w:lastColumn="0" w:noHBand="0" w:noVBand="1"/>
      </w:tblPr>
      <w:tblGrid>
        <w:gridCol w:w="7280"/>
        <w:gridCol w:w="7280"/>
      </w:tblGrid>
      <w:tr w:rsidR="009A0B72" w:rsidRPr="005A2EF7" w:rsidTr="009A0B72">
        <w:tc>
          <w:tcPr>
            <w:tcW w:w="7280" w:type="dxa"/>
            <w:shd w:val="clear" w:color="auto" w:fill="F2F2F2" w:themeFill="background1" w:themeFillShade="F2"/>
          </w:tcPr>
          <w:p w:rsidR="009A0B72" w:rsidRPr="005A2EF7" w:rsidRDefault="009A0B72" w:rsidP="009A0B72">
            <w:pPr>
              <w:pStyle w:val="AralkYok"/>
              <w:jc w:val="center"/>
              <w:rPr>
                <w:rFonts w:ascii="Cambria" w:hAnsi="Cambria"/>
                <w:b/>
                <w:bCs/>
                <w:color w:val="002060"/>
                <w:sz w:val="26"/>
                <w:szCs w:val="26"/>
              </w:rPr>
            </w:pPr>
            <w:r w:rsidRPr="005A2EF7">
              <w:rPr>
                <w:rFonts w:ascii="Cambria" w:hAnsi="Cambria"/>
                <w:b/>
                <w:bCs/>
                <w:color w:val="002060"/>
                <w:sz w:val="26"/>
                <w:szCs w:val="26"/>
              </w:rPr>
              <w:t>ESKİ ŞEKLİ</w:t>
            </w:r>
          </w:p>
        </w:tc>
        <w:tc>
          <w:tcPr>
            <w:tcW w:w="7280" w:type="dxa"/>
            <w:shd w:val="clear" w:color="auto" w:fill="F2F2F2" w:themeFill="background1" w:themeFillShade="F2"/>
          </w:tcPr>
          <w:p w:rsidR="009A0B72" w:rsidRPr="005A2EF7" w:rsidRDefault="009A0B72" w:rsidP="009A0B72">
            <w:pPr>
              <w:pStyle w:val="AralkYok"/>
              <w:jc w:val="center"/>
              <w:rPr>
                <w:rFonts w:ascii="Cambria" w:hAnsi="Cambria"/>
                <w:b/>
                <w:bCs/>
                <w:color w:val="002060"/>
                <w:sz w:val="26"/>
                <w:szCs w:val="26"/>
              </w:rPr>
            </w:pPr>
            <w:r w:rsidRPr="005A2EF7">
              <w:rPr>
                <w:rFonts w:ascii="Cambria" w:hAnsi="Cambria"/>
                <w:b/>
                <w:bCs/>
                <w:color w:val="002060"/>
                <w:sz w:val="26"/>
                <w:szCs w:val="26"/>
              </w:rPr>
              <w:t>YENİ ŞEKLİ</w:t>
            </w:r>
          </w:p>
        </w:tc>
      </w:tr>
      <w:tr w:rsidR="001E791F" w:rsidRPr="005A2EF7" w:rsidTr="009A0B72">
        <w:tc>
          <w:tcPr>
            <w:tcW w:w="7280" w:type="dxa"/>
          </w:tcPr>
          <w:p w:rsidR="001E791F" w:rsidRPr="005A2EF7" w:rsidRDefault="00CD5D98" w:rsidP="00CD5D98">
            <w:pPr>
              <w:pStyle w:val="AralkYok"/>
              <w:jc w:val="both"/>
              <w:rPr>
                <w:rFonts w:ascii="Cambria" w:hAnsi="Cambria"/>
                <w:bCs/>
                <w:sz w:val="26"/>
                <w:szCs w:val="26"/>
              </w:rPr>
            </w:pPr>
            <w:r w:rsidRPr="005A2EF7">
              <w:rPr>
                <w:rFonts w:ascii="Cambria" w:hAnsi="Cambria"/>
                <w:sz w:val="26"/>
                <w:szCs w:val="26"/>
              </w:rPr>
              <w:t xml:space="preserve"> </w:t>
            </w:r>
            <w:proofErr w:type="gramStart"/>
            <w:r w:rsidRPr="005A2EF7">
              <w:rPr>
                <w:rFonts w:ascii="Cambria" w:hAnsi="Cambria"/>
                <w:b/>
                <w:bCs/>
                <w:sz w:val="26"/>
                <w:szCs w:val="26"/>
              </w:rPr>
              <w:t xml:space="preserve">MADDE 3- </w:t>
            </w:r>
            <w:r w:rsidRPr="005A2EF7">
              <w:rPr>
                <w:rFonts w:ascii="Cambria" w:hAnsi="Cambria"/>
                <w:sz w:val="26"/>
                <w:szCs w:val="26"/>
              </w:rPr>
              <w:t xml:space="preserve">(1) 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eğitimi sonrasındaki yedi yıl içerisinde kalmak kaydıyla en fazla üç yıl süre ile giderleri özel bütçeden karşılanmak üzere sözleşmeli olarak doktora sonrası araştırmacı istihdam edilebilir. </w:t>
            </w:r>
            <w:proofErr w:type="gramEnd"/>
          </w:p>
        </w:tc>
        <w:tc>
          <w:tcPr>
            <w:tcW w:w="7280" w:type="dxa"/>
          </w:tcPr>
          <w:p w:rsidR="001E791F" w:rsidRPr="005A2EF7" w:rsidRDefault="00CD5D98" w:rsidP="001E791F">
            <w:pPr>
              <w:pStyle w:val="AralkYok"/>
              <w:jc w:val="both"/>
              <w:rPr>
                <w:rFonts w:ascii="Cambria" w:hAnsi="Cambria"/>
                <w:bCs/>
                <w:sz w:val="26"/>
                <w:szCs w:val="26"/>
              </w:rPr>
            </w:pPr>
            <w:r w:rsidRPr="005A2EF7">
              <w:rPr>
                <w:rFonts w:ascii="Cambria" w:hAnsi="Cambria"/>
                <w:b/>
                <w:bCs/>
                <w:sz w:val="26"/>
                <w:szCs w:val="26"/>
              </w:rPr>
              <w:t xml:space="preserve">MADDE 3- </w:t>
            </w:r>
            <w:r w:rsidRPr="005A2EF7">
              <w:rPr>
                <w:rFonts w:ascii="Cambria" w:hAnsi="Cambria"/>
                <w:sz w:val="26"/>
                <w:szCs w:val="26"/>
              </w:rPr>
              <w:t xml:space="preserve">(1) Devlet yükseköğretim kurumlarının uygulama ve araştırma merkezlerinde, araştırma enstitülerinde 28/2/2008 tarihli ve 5746 sayılı Araştırma, Geliştirme ve Tasarım Faaliyetlerinin Desteklenmesi Hakkında Kanun kapsamında Ar-Ge, yenilik veya tasarım projelerinde görev alan ya da öğretim üyelerinin yürüttükleri bu nitelikteki projelere yardımcı olmak üzere, doktora ile tıpta, diş hekimliğinde, eczacılıkta ve veteriner hekimlikte uzmanlık veya sanatta yeterlik eğitimi sonrasındaki yedi yıl içerisinde kalmak kaydıyla en fazla üç yıl süre ile giderleri özel bütçeden karşılanmak üzere sözleşmeli olarak doktora sonrası araştırmacı istihdam edilebilir. </w:t>
            </w:r>
            <w:r w:rsidRPr="005A2EF7">
              <w:rPr>
                <w:rFonts w:ascii="Cambria" w:hAnsi="Cambria"/>
                <w:b/>
                <w:color w:val="C00000"/>
                <w:sz w:val="26"/>
                <w:szCs w:val="26"/>
              </w:rPr>
              <w:t>Bu kapsamda istihdam edilecek araştırmacı sayısı üniversitenin dolu öğretim elemanı kadrosu sayısının %2’si ile sınırlıdır. (28.05.2025 tarihli Genel Kurul Kararıyla ek ibare)</w:t>
            </w:r>
          </w:p>
        </w:tc>
      </w:tr>
      <w:tr w:rsidR="009A0B72" w:rsidRPr="005A2EF7" w:rsidTr="009A0B72">
        <w:tc>
          <w:tcPr>
            <w:tcW w:w="7280" w:type="dxa"/>
          </w:tcPr>
          <w:p w:rsidR="00CD5D98" w:rsidRPr="005A2EF7" w:rsidRDefault="00CD5D98" w:rsidP="00CD5D98">
            <w:pPr>
              <w:pStyle w:val="Default"/>
              <w:rPr>
                <w:rFonts w:ascii="Cambria" w:hAnsi="Cambria"/>
                <w:sz w:val="26"/>
                <w:szCs w:val="26"/>
              </w:rPr>
            </w:pPr>
          </w:p>
          <w:p w:rsidR="009A0B72" w:rsidRPr="005A2EF7" w:rsidRDefault="00CD5D98" w:rsidP="00CD5D98">
            <w:pPr>
              <w:pStyle w:val="AralkYok"/>
              <w:jc w:val="both"/>
              <w:rPr>
                <w:rFonts w:ascii="Cambria" w:hAnsi="Cambria"/>
                <w:bCs/>
                <w:sz w:val="26"/>
                <w:szCs w:val="26"/>
              </w:rPr>
            </w:pPr>
            <w:r w:rsidRPr="005A2EF7">
              <w:rPr>
                <w:rFonts w:ascii="Cambria" w:hAnsi="Cambria"/>
                <w:sz w:val="26"/>
                <w:szCs w:val="26"/>
              </w:rPr>
              <w:t xml:space="preserve"> </w:t>
            </w:r>
            <w:r w:rsidRPr="005A2EF7">
              <w:rPr>
                <w:rFonts w:ascii="Cambria" w:hAnsi="Cambria"/>
                <w:b/>
                <w:bCs/>
                <w:sz w:val="26"/>
                <w:szCs w:val="26"/>
              </w:rPr>
              <w:t xml:space="preserve">MADDE 4- </w:t>
            </w:r>
            <w:r w:rsidRPr="005A2EF7">
              <w:rPr>
                <w:rFonts w:ascii="Cambria" w:hAnsi="Cambria"/>
                <w:sz w:val="26"/>
                <w:szCs w:val="26"/>
              </w:rPr>
              <w:t xml:space="preserve">(1) Bu Usul ve Esaslar kapsamında doktora sonrası sözleşmeli araştırmacının çalıştırılması için, araştırmacının çalıştırılacağı ilgili akademik birimin gerekçeli talebi üzerine üniversite yönetim kurulu araştırmacının çalıştırılıp çalıştırılmayacağına ilişkin karar alır. Üniversite yönetim kurulu araştırmacının çalıştırılmasına ilişkin karar alırken Yükseköğretim Kuruluna teklif edilecek brüt aylık sözleşme </w:t>
            </w:r>
            <w:r w:rsidRPr="005A2EF7">
              <w:rPr>
                <w:rFonts w:ascii="Cambria" w:hAnsi="Cambria"/>
                <w:sz w:val="26"/>
                <w:szCs w:val="26"/>
              </w:rPr>
              <w:lastRenderedPageBreak/>
              <w:t>ücreti karşılığı gösterge rakamını da belirler. Brüt sözleşme ücreti karşılığı gösterge rakamı 60.000’i geçemez</w:t>
            </w:r>
            <w:r w:rsidRPr="005A2EF7">
              <w:rPr>
                <w:rFonts w:ascii="Cambria" w:hAnsi="Cambria"/>
                <w:b/>
                <w:strike/>
                <w:color w:val="C00000"/>
                <w:sz w:val="26"/>
                <w:szCs w:val="26"/>
              </w:rPr>
              <w:t>. Bu kapsamda istihdam edilecek araştırmacı sayısı üniversitenin dolu öğretim elemanı kadrosu sayısının %2’si ile sınırlıdır.</w:t>
            </w:r>
          </w:p>
        </w:tc>
        <w:tc>
          <w:tcPr>
            <w:tcW w:w="7280" w:type="dxa"/>
          </w:tcPr>
          <w:p w:rsidR="009A0B72" w:rsidRPr="005A2EF7" w:rsidRDefault="00CD5D98" w:rsidP="00CD5D98">
            <w:pPr>
              <w:pStyle w:val="AralkYok"/>
              <w:jc w:val="both"/>
              <w:rPr>
                <w:rFonts w:ascii="Cambria" w:hAnsi="Cambria"/>
                <w:bCs/>
                <w:sz w:val="26"/>
                <w:szCs w:val="26"/>
              </w:rPr>
            </w:pPr>
            <w:r w:rsidRPr="005A2EF7">
              <w:rPr>
                <w:rFonts w:ascii="Cambria" w:hAnsi="Cambria"/>
                <w:b/>
                <w:bCs/>
                <w:sz w:val="26"/>
                <w:szCs w:val="26"/>
              </w:rPr>
              <w:lastRenderedPageBreak/>
              <w:t>M</w:t>
            </w:r>
            <w:r w:rsidRPr="005A2EF7">
              <w:rPr>
                <w:rFonts w:ascii="Cambria" w:hAnsi="Cambria"/>
                <w:b/>
                <w:bCs/>
                <w:sz w:val="26"/>
                <w:szCs w:val="26"/>
              </w:rPr>
              <w:t>ADDE 4</w:t>
            </w:r>
            <w:r w:rsidRPr="005A2EF7">
              <w:rPr>
                <w:rFonts w:ascii="Cambria" w:hAnsi="Cambria"/>
                <w:b/>
                <w:bCs/>
                <w:sz w:val="26"/>
                <w:szCs w:val="26"/>
              </w:rPr>
              <w:t xml:space="preserve">- </w:t>
            </w:r>
            <w:r w:rsidRPr="005A2EF7">
              <w:rPr>
                <w:rFonts w:ascii="Cambria" w:hAnsi="Cambria"/>
                <w:sz w:val="26"/>
                <w:szCs w:val="26"/>
              </w:rPr>
              <w:t xml:space="preserve">(1) </w:t>
            </w:r>
            <w:r w:rsidR="001E791F" w:rsidRPr="005A2EF7">
              <w:rPr>
                <w:rFonts w:ascii="Cambria" w:hAnsi="Cambria"/>
                <w:bCs/>
                <w:sz w:val="26"/>
                <w:szCs w:val="26"/>
              </w:rPr>
              <w:t>Bu Usul ve Esaslar kapsamında doktora sonrası sözleşmeli araştırmacı çalıştırılabilmesi,</w:t>
            </w:r>
            <w:r w:rsidR="001E791F" w:rsidRPr="005A2EF7">
              <w:rPr>
                <w:rFonts w:ascii="Cambria" w:hAnsi="Cambria"/>
                <w:bCs/>
                <w:sz w:val="26"/>
                <w:szCs w:val="26"/>
              </w:rPr>
              <w:t xml:space="preserve"> </w:t>
            </w:r>
            <w:r w:rsidR="001E791F" w:rsidRPr="005A2EF7">
              <w:rPr>
                <w:rFonts w:ascii="Cambria" w:hAnsi="Cambria"/>
                <w:bCs/>
                <w:sz w:val="26"/>
                <w:szCs w:val="26"/>
              </w:rPr>
              <w:t>araştırmacının çalıştırılacağı ilgili akademik birimin gerekçeli talebi ile üniversite yönetim</w:t>
            </w:r>
            <w:r w:rsidR="001E791F" w:rsidRPr="005A2EF7">
              <w:rPr>
                <w:rFonts w:ascii="Cambria" w:hAnsi="Cambria"/>
                <w:bCs/>
                <w:sz w:val="26"/>
                <w:szCs w:val="26"/>
              </w:rPr>
              <w:t xml:space="preserve"> </w:t>
            </w:r>
            <w:r w:rsidR="001E791F" w:rsidRPr="005A2EF7">
              <w:rPr>
                <w:rFonts w:ascii="Cambria" w:hAnsi="Cambria"/>
                <w:bCs/>
                <w:sz w:val="26"/>
                <w:szCs w:val="26"/>
              </w:rPr>
              <w:t>kurulunun alacağı karar üzerine gerçekleşir. Üniversite yönetim kurulu, kararında, araştırmacının</w:t>
            </w:r>
            <w:r w:rsidR="001E791F" w:rsidRPr="005A2EF7">
              <w:rPr>
                <w:rFonts w:ascii="Cambria" w:hAnsi="Cambria"/>
                <w:bCs/>
                <w:sz w:val="26"/>
                <w:szCs w:val="26"/>
              </w:rPr>
              <w:t xml:space="preserve"> </w:t>
            </w:r>
            <w:r w:rsidR="001E791F" w:rsidRPr="005A2EF7">
              <w:rPr>
                <w:rFonts w:ascii="Cambria" w:hAnsi="Cambria"/>
                <w:bCs/>
                <w:sz w:val="26"/>
                <w:szCs w:val="26"/>
              </w:rPr>
              <w:t>sözleşme süresini ve Yükseköğretim Kuruluna teklif edilecek brüt aylık sözleşme ücreti karşılığı</w:t>
            </w:r>
            <w:r w:rsidR="001E791F" w:rsidRPr="005A2EF7">
              <w:rPr>
                <w:rFonts w:ascii="Cambria" w:hAnsi="Cambria"/>
                <w:bCs/>
                <w:sz w:val="26"/>
                <w:szCs w:val="26"/>
              </w:rPr>
              <w:t xml:space="preserve"> </w:t>
            </w:r>
            <w:r w:rsidR="001E791F" w:rsidRPr="005A2EF7">
              <w:rPr>
                <w:rFonts w:ascii="Cambria" w:hAnsi="Cambria"/>
                <w:bCs/>
                <w:sz w:val="26"/>
                <w:szCs w:val="26"/>
              </w:rPr>
              <w:t xml:space="preserve">gösterge rakamını belirler. </w:t>
            </w:r>
            <w:r w:rsidR="001E791F" w:rsidRPr="005A2EF7">
              <w:rPr>
                <w:rFonts w:ascii="Cambria" w:hAnsi="Cambria"/>
                <w:b/>
                <w:bCs/>
                <w:color w:val="C00000"/>
                <w:sz w:val="26"/>
                <w:szCs w:val="26"/>
              </w:rPr>
              <w:t xml:space="preserve">Araştırmacının sözleşme süresi, proje sözleşme bitiş </w:t>
            </w:r>
            <w:r w:rsidR="001E791F" w:rsidRPr="005A2EF7">
              <w:rPr>
                <w:rFonts w:ascii="Cambria" w:hAnsi="Cambria"/>
                <w:b/>
                <w:bCs/>
                <w:color w:val="C00000"/>
                <w:sz w:val="26"/>
                <w:szCs w:val="26"/>
              </w:rPr>
              <w:lastRenderedPageBreak/>
              <w:t>tarihini iki aydan</w:t>
            </w:r>
            <w:r w:rsidR="001E791F" w:rsidRPr="005A2EF7">
              <w:rPr>
                <w:rFonts w:ascii="Cambria" w:hAnsi="Cambria"/>
                <w:b/>
                <w:bCs/>
                <w:color w:val="C00000"/>
                <w:sz w:val="26"/>
                <w:szCs w:val="26"/>
              </w:rPr>
              <w:t xml:space="preserve"> </w:t>
            </w:r>
            <w:r w:rsidR="001E791F" w:rsidRPr="005A2EF7">
              <w:rPr>
                <w:rFonts w:ascii="Cambria" w:hAnsi="Cambria"/>
                <w:b/>
                <w:bCs/>
                <w:color w:val="C00000"/>
                <w:sz w:val="26"/>
                <w:szCs w:val="26"/>
              </w:rPr>
              <w:t>fazla geçmemek üzere, her defasında en fazla 12 aydır. Ancak araştırmacının çalıştırılacağı proje</w:t>
            </w:r>
            <w:r w:rsidR="001E791F" w:rsidRPr="005A2EF7">
              <w:rPr>
                <w:rFonts w:ascii="Cambria" w:hAnsi="Cambria"/>
                <w:b/>
                <w:bCs/>
                <w:color w:val="C00000"/>
                <w:sz w:val="26"/>
                <w:szCs w:val="26"/>
              </w:rPr>
              <w:t xml:space="preserve"> </w:t>
            </w:r>
            <w:r w:rsidR="001E791F" w:rsidRPr="005A2EF7">
              <w:rPr>
                <w:rFonts w:ascii="Cambria" w:hAnsi="Cambria"/>
                <w:b/>
                <w:bCs/>
                <w:color w:val="C00000"/>
                <w:sz w:val="26"/>
                <w:szCs w:val="26"/>
              </w:rPr>
              <w:t>süresi bitimine 16 aydan veya bu usul ve esasların 3 üncü maddesi uyarınca araştırmacının</w:t>
            </w:r>
            <w:r w:rsidRPr="005A2EF7">
              <w:rPr>
                <w:rFonts w:ascii="Cambria" w:hAnsi="Cambria"/>
                <w:b/>
                <w:bCs/>
                <w:color w:val="C00000"/>
                <w:sz w:val="26"/>
                <w:szCs w:val="26"/>
              </w:rPr>
              <w:t xml:space="preserve"> </w:t>
            </w:r>
            <w:r w:rsidR="001E791F" w:rsidRPr="005A2EF7">
              <w:rPr>
                <w:rFonts w:ascii="Cambria" w:hAnsi="Cambria"/>
                <w:b/>
                <w:bCs/>
                <w:color w:val="C00000"/>
                <w:sz w:val="26"/>
                <w:szCs w:val="26"/>
              </w:rPr>
              <w:t>çalıştırılabileceği azami sürenin dolmasına 18 aydan az bir süre kalmış olması durumunda,</w:t>
            </w:r>
            <w:r w:rsidR="001E791F" w:rsidRPr="005A2EF7">
              <w:rPr>
                <w:rFonts w:ascii="Cambria" w:hAnsi="Cambria"/>
                <w:b/>
                <w:bCs/>
                <w:color w:val="C00000"/>
                <w:sz w:val="26"/>
                <w:szCs w:val="26"/>
              </w:rPr>
              <w:t xml:space="preserve"> </w:t>
            </w:r>
            <w:r w:rsidR="001E791F" w:rsidRPr="005A2EF7">
              <w:rPr>
                <w:rFonts w:ascii="Cambria" w:hAnsi="Cambria"/>
                <w:b/>
                <w:bCs/>
                <w:color w:val="C00000"/>
                <w:sz w:val="26"/>
                <w:szCs w:val="26"/>
              </w:rPr>
              <w:t>sözleşme süresi 18 aya kadar teklif edilebilir.</w:t>
            </w:r>
            <w:r w:rsidR="001E791F" w:rsidRPr="005A2EF7">
              <w:rPr>
                <w:rFonts w:ascii="Cambria" w:hAnsi="Cambria"/>
                <w:bCs/>
                <w:sz w:val="26"/>
                <w:szCs w:val="26"/>
              </w:rPr>
              <w:t xml:space="preserve"> Teklif edilecek brüt sözleşme ücreti karşılığı</w:t>
            </w:r>
            <w:r w:rsidR="001E791F" w:rsidRPr="005A2EF7">
              <w:rPr>
                <w:rFonts w:ascii="Cambria" w:hAnsi="Cambria"/>
                <w:bCs/>
                <w:sz w:val="26"/>
                <w:szCs w:val="26"/>
              </w:rPr>
              <w:t xml:space="preserve"> </w:t>
            </w:r>
            <w:r w:rsidR="001E791F" w:rsidRPr="005A2EF7">
              <w:rPr>
                <w:rFonts w:ascii="Cambria" w:hAnsi="Cambria"/>
                <w:bCs/>
                <w:sz w:val="26"/>
                <w:szCs w:val="26"/>
              </w:rPr>
              <w:t>gösterge rakamı ise 60.000'i geçemez</w:t>
            </w:r>
          </w:p>
        </w:tc>
      </w:tr>
      <w:tr w:rsidR="00925B46" w:rsidRPr="005A2EF7" w:rsidTr="009A0B72">
        <w:tc>
          <w:tcPr>
            <w:tcW w:w="7280" w:type="dxa"/>
          </w:tcPr>
          <w:p w:rsidR="00925B46" w:rsidRPr="005A2EF7" w:rsidRDefault="00CD5D98" w:rsidP="00CD5D98">
            <w:pPr>
              <w:pStyle w:val="AralkYok"/>
              <w:jc w:val="both"/>
              <w:rPr>
                <w:rFonts w:ascii="Cambria" w:hAnsi="Cambria"/>
                <w:bCs/>
                <w:sz w:val="26"/>
                <w:szCs w:val="26"/>
              </w:rPr>
            </w:pPr>
            <w:r w:rsidRPr="005A2EF7">
              <w:rPr>
                <w:rFonts w:ascii="Cambria" w:hAnsi="Cambria"/>
                <w:b/>
                <w:bCs/>
                <w:sz w:val="26"/>
                <w:szCs w:val="26"/>
              </w:rPr>
              <w:lastRenderedPageBreak/>
              <w:t xml:space="preserve">MADDE 4- </w:t>
            </w:r>
            <w:r w:rsidRPr="005A2EF7">
              <w:rPr>
                <w:rFonts w:ascii="Cambria" w:hAnsi="Cambria"/>
                <w:sz w:val="26"/>
                <w:szCs w:val="26"/>
              </w:rPr>
              <w:t xml:space="preserve">(2) Doktora sonrası sözleşmeli araştırmacı çalıştırma teklifleri, araştırmacının sözleşme başlangıç zamanından en az </w:t>
            </w:r>
            <w:r w:rsidRPr="005A2EF7">
              <w:rPr>
                <w:rFonts w:ascii="Cambria" w:hAnsi="Cambria"/>
                <w:strike/>
                <w:color w:val="C00000"/>
                <w:sz w:val="26"/>
                <w:szCs w:val="26"/>
              </w:rPr>
              <w:t>bir</w:t>
            </w:r>
            <w:r w:rsidRPr="005A2EF7">
              <w:rPr>
                <w:rFonts w:ascii="Cambria" w:hAnsi="Cambria"/>
                <w:sz w:val="26"/>
                <w:szCs w:val="26"/>
              </w:rPr>
              <w:t xml:space="preserve"> ay önce Rektörlüklerce Yükseköğretim Kurulu Başkanlığına gönderilir. Araştırmacı çalıştırma tekliflerinde araştırmacının; hangi projede ne amaçla çalıştırılacağı, lisans, yüksek lisans ve doktora veya eşdeğeri mezuniyet bilgileri, yabancı dil seviyesi, bilimsel çalışma, yayın ve projelerine ilişkin ayrıntılı bilgi ve belgeler de yer alır.</w:t>
            </w:r>
          </w:p>
        </w:tc>
        <w:tc>
          <w:tcPr>
            <w:tcW w:w="7280" w:type="dxa"/>
          </w:tcPr>
          <w:p w:rsidR="00925B46" w:rsidRPr="005A2EF7" w:rsidRDefault="00CD5D98" w:rsidP="00CD5D98">
            <w:pPr>
              <w:pStyle w:val="AralkYok"/>
              <w:jc w:val="both"/>
              <w:rPr>
                <w:rFonts w:ascii="Cambria" w:hAnsi="Cambria"/>
                <w:bCs/>
                <w:sz w:val="26"/>
                <w:szCs w:val="26"/>
              </w:rPr>
            </w:pPr>
            <w:r w:rsidRPr="005A2EF7">
              <w:rPr>
                <w:rFonts w:ascii="Cambria" w:hAnsi="Cambria"/>
                <w:b/>
                <w:bCs/>
                <w:sz w:val="26"/>
                <w:szCs w:val="26"/>
              </w:rPr>
              <w:t xml:space="preserve">MADDE 4- </w:t>
            </w:r>
            <w:r w:rsidRPr="005A2EF7">
              <w:rPr>
                <w:rFonts w:ascii="Cambria" w:hAnsi="Cambria"/>
                <w:sz w:val="26"/>
                <w:szCs w:val="26"/>
              </w:rPr>
              <w:t xml:space="preserve">(2) Doktora sonrası sözleşmeli araştırmacı çalıştırma teklifleri, araştırmacının sözleşme başlangıç zamanından en az </w:t>
            </w:r>
            <w:r w:rsidRPr="005A2EF7">
              <w:rPr>
                <w:rFonts w:ascii="Cambria" w:hAnsi="Cambria"/>
                <w:color w:val="C00000"/>
                <w:sz w:val="26"/>
                <w:szCs w:val="26"/>
              </w:rPr>
              <w:t>iki</w:t>
            </w:r>
            <w:r w:rsidRPr="005A2EF7">
              <w:rPr>
                <w:rFonts w:ascii="Cambria" w:hAnsi="Cambria"/>
                <w:sz w:val="26"/>
                <w:szCs w:val="26"/>
              </w:rPr>
              <w:t xml:space="preserve"> ay önce Rektörlüklerce Yükseköğretim Kurulu Başkanlığına gönderilir. Araştırmacı çalıştırma tekliflerinde araştırmacının; hangi projede ne amaçla çalıştırılacağı, lisans, yüksek lisans ve doktora veya eşdeğeri mezuniyet bilgileri, yabancı dil seviyesi, bilimsel çalışma, yayın ve projelerine ilişkin ayrıntılı bilgi ve belgeler de yer alır.</w:t>
            </w:r>
          </w:p>
        </w:tc>
      </w:tr>
      <w:tr w:rsidR="00925B46" w:rsidRPr="005A2EF7" w:rsidTr="009A0B72">
        <w:tc>
          <w:tcPr>
            <w:tcW w:w="7280" w:type="dxa"/>
          </w:tcPr>
          <w:p w:rsidR="00925B46" w:rsidRPr="005A2EF7" w:rsidRDefault="00CD5D98" w:rsidP="00CD5D98">
            <w:pPr>
              <w:pStyle w:val="AralkYok"/>
              <w:jc w:val="both"/>
              <w:rPr>
                <w:rFonts w:ascii="Cambria" w:hAnsi="Cambria"/>
                <w:bCs/>
                <w:sz w:val="26"/>
                <w:szCs w:val="26"/>
              </w:rPr>
            </w:pPr>
            <w:r w:rsidRPr="005A2EF7">
              <w:rPr>
                <w:rFonts w:ascii="Cambria" w:hAnsi="Cambria"/>
                <w:sz w:val="26"/>
                <w:szCs w:val="26"/>
              </w:rPr>
              <w:t xml:space="preserve"> </w:t>
            </w:r>
            <w:r w:rsidRPr="005A2EF7">
              <w:rPr>
                <w:rFonts w:ascii="Cambria" w:hAnsi="Cambria"/>
                <w:b/>
                <w:bCs/>
                <w:sz w:val="26"/>
                <w:szCs w:val="26"/>
              </w:rPr>
              <w:t xml:space="preserve">MADDE 4- </w:t>
            </w:r>
            <w:r w:rsidRPr="005A2EF7">
              <w:rPr>
                <w:rFonts w:ascii="Cambria" w:hAnsi="Cambria"/>
                <w:sz w:val="26"/>
                <w:szCs w:val="26"/>
              </w:rPr>
              <w:t xml:space="preserve">(3) </w:t>
            </w:r>
            <w:r w:rsidRPr="005A2EF7">
              <w:rPr>
                <w:rFonts w:ascii="Cambria" w:hAnsi="Cambria"/>
                <w:b/>
                <w:strike/>
                <w:color w:val="C00000"/>
                <w:sz w:val="26"/>
                <w:szCs w:val="26"/>
              </w:rPr>
              <w:t>Doktora sonrası araştırmacının çalıştırılmasının Yükseköğretim Yürütme Kurulu tarafından uygun bulunması halinde tip sözleşmesi, Yükseköğretim Yürütme Kurulunca araştırmacının brüt aylık ücreti karşılığı gösterge rakamı da belirlenerek yükseköğretim kurumlarına gönderilir.</w:t>
            </w:r>
          </w:p>
        </w:tc>
        <w:tc>
          <w:tcPr>
            <w:tcW w:w="7280" w:type="dxa"/>
          </w:tcPr>
          <w:p w:rsidR="00925B46" w:rsidRPr="005A2EF7" w:rsidRDefault="00CD5D98" w:rsidP="00CD5D98">
            <w:pPr>
              <w:pStyle w:val="AralkYok"/>
              <w:jc w:val="both"/>
              <w:rPr>
                <w:rFonts w:ascii="Cambria" w:hAnsi="Cambria"/>
                <w:bCs/>
                <w:sz w:val="26"/>
                <w:szCs w:val="26"/>
              </w:rPr>
            </w:pPr>
            <w:r w:rsidRPr="005A2EF7">
              <w:rPr>
                <w:rFonts w:ascii="Cambria" w:hAnsi="Cambria"/>
                <w:sz w:val="26"/>
                <w:szCs w:val="26"/>
              </w:rPr>
              <w:t xml:space="preserve"> </w:t>
            </w:r>
            <w:r w:rsidRPr="005A2EF7">
              <w:rPr>
                <w:rFonts w:ascii="Cambria" w:hAnsi="Cambria"/>
                <w:b/>
                <w:bCs/>
                <w:sz w:val="26"/>
                <w:szCs w:val="26"/>
              </w:rPr>
              <w:t xml:space="preserve">MADDE 4- </w:t>
            </w:r>
            <w:r w:rsidRPr="005A2EF7">
              <w:rPr>
                <w:rFonts w:ascii="Cambria" w:hAnsi="Cambria"/>
                <w:sz w:val="26"/>
                <w:szCs w:val="26"/>
              </w:rPr>
              <w:t xml:space="preserve">(3) (28.05.2025 tarihli Genel Kurul Kararıyla ek fıkra) </w:t>
            </w:r>
            <w:r w:rsidRPr="005A2EF7">
              <w:rPr>
                <w:rFonts w:ascii="Cambria" w:hAnsi="Cambria"/>
                <w:b/>
                <w:color w:val="C00000"/>
                <w:sz w:val="26"/>
                <w:szCs w:val="26"/>
              </w:rPr>
              <w:t>Yükseköğretim Yürütme Kurulunca çalıştırılması uygun bulunan doktora sonrası araştırmacıların brüt aylık ücret karşılığı gösterge rakamı belirlenir. Yükseköğretim kurumları ile doktora sonrası araştırmacı arasında ekteki tip sözleşmeye uygun olarak sözleşme imzalanır.</w:t>
            </w:r>
          </w:p>
        </w:tc>
      </w:tr>
      <w:tr w:rsidR="00925B46" w:rsidRPr="005A2EF7" w:rsidTr="009A0B72">
        <w:tc>
          <w:tcPr>
            <w:tcW w:w="7280" w:type="dxa"/>
          </w:tcPr>
          <w:p w:rsidR="00925B46" w:rsidRPr="005A2EF7" w:rsidRDefault="005A2EF7" w:rsidP="009A0B72">
            <w:pPr>
              <w:pStyle w:val="AralkYok"/>
              <w:jc w:val="center"/>
              <w:rPr>
                <w:rFonts w:ascii="Cambria" w:hAnsi="Cambria"/>
                <w:b/>
                <w:bCs/>
                <w:sz w:val="26"/>
                <w:szCs w:val="26"/>
              </w:rPr>
            </w:pPr>
            <w:r w:rsidRPr="005A2EF7">
              <w:rPr>
                <w:rFonts w:ascii="Cambria" w:hAnsi="Cambria"/>
                <w:b/>
                <w:bCs/>
                <w:color w:val="C00000"/>
                <w:sz w:val="26"/>
                <w:szCs w:val="26"/>
              </w:rPr>
              <w:t>Ek Madde Eklenmesi</w:t>
            </w:r>
          </w:p>
        </w:tc>
        <w:tc>
          <w:tcPr>
            <w:tcW w:w="7280" w:type="dxa"/>
          </w:tcPr>
          <w:p w:rsidR="00925B46" w:rsidRPr="005A2EF7" w:rsidRDefault="005A2EF7" w:rsidP="005A2EF7">
            <w:pPr>
              <w:pStyle w:val="AralkYok"/>
              <w:jc w:val="both"/>
              <w:rPr>
                <w:rFonts w:ascii="Cambria" w:hAnsi="Cambria"/>
                <w:bCs/>
                <w:sz w:val="26"/>
                <w:szCs w:val="26"/>
              </w:rPr>
            </w:pPr>
            <w:r w:rsidRPr="005A2EF7">
              <w:rPr>
                <w:rFonts w:ascii="Cambria" w:hAnsi="Cambria"/>
                <w:bCs/>
                <w:sz w:val="26"/>
                <w:szCs w:val="26"/>
              </w:rPr>
              <w:t xml:space="preserve">MADDE 4/A- (1) </w:t>
            </w:r>
            <w:r w:rsidRPr="005A2EF7">
              <w:rPr>
                <w:rFonts w:ascii="Cambria" w:hAnsi="Cambria"/>
                <w:b/>
                <w:bCs/>
                <w:color w:val="C00000"/>
                <w:sz w:val="26"/>
                <w:szCs w:val="26"/>
              </w:rPr>
              <w:t>Doktora sonrası araştırmacılara görev süresince personel kimlik kartı verilir</w:t>
            </w:r>
            <w:r w:rsidRPr="005A2EF7">
              <w:rPr>
                <w:rFonts w:ascii="Cambria" w:hAnsi="Cambria"/>
                <w:b/>
                <w:bCs/>
                <w:color w:val="C00000"/>
                <w:sz w:val="26"/>
                <w:szCs w:val="26"/>
              </w:rPr>
              <w:t xml:space="preserve"> </w:t>
            </w:r>
            <w:r w:rsidRPr="005A2EF7">
              <w:rPr>
                <w:rFonts w:ascii="Cambria" w:hAnsi="Cambria"/>
                <w:b/>
                <w:bCs/>
                <w:color w:val="C00000"/>
                <w:sz w:val="26"/>
                <w:szCs w:val="26"/>
              </w:rPr>
              <w:t>ve yükseköğretim kurumu uzantılı e-posta adresi tahsis edilir.</w:t>
            </w:r>
          </w:p>
        </w:tc>
      </w:tr>
    </w:tbl>
    <w:p w:rsidR="00F478AB" w:rsidRPr="005A2EF7" w:rsidRDefault="00F478AB" w:rsidP="00F478AB">
      <w:pPr>
        <w:rPr>
          <w:rFonts w:ascii="Cambria" w:hAnsi="Cambria"/>
          <w:sz w:val="26"/>
          <w:szCs w:val="26"/>
        </w:rPr>
      </w:pPr>
    </w:p>
    <w:p w:rsidR="005B0C52" w:rsidRPr="005A2EF7" w:rsidRDefault="00F478AB" w:rsidP="00F478AB">
      <w:pPr>
        <w:tabs>
          <w:tab w:val="left" w:pos="10320"/>
        </w:tabs>
        <w:rPr>
          <w:rFonts w:ascii="Cambria" w:hAnsi="Cambria"/>
          <w:sz w:val="26"/>
          <w:szCs w:val="26"/>
        </w:rPr>
      </w:pPr>
      <w:r w:rsidRPr="005A2EF7">
        <w:rPr>
          <w:rFonts w:ascii="Cambria" w:hAnsi="Cambria"/>
          <w:sz w:val="26"/>
          <w:szCs w:val="26"/>
        </w:rPr>
        <w:tab/>
      </w:r>
    </w:p>
    <w:sectPr w:rsidR="005B0C52" w:rsidRPr="005A2EF7"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FD" w:rsidRDefault="00D911FD" w:rsidP="00534F7F">
      <w:pPr>
        <w:spacing w:after="0" w:line="240" w:lineRule="auto"/>
      </w:pPr>
      <w:r>
        <w:separator/>
      </w:r>
    </w:p>
  </w:endnote>
  <w:endnote w:type="continuationSeparator" w:id="0">
    <w:p w:rsidR="00D911FD" w:rsidRDefault="00D911F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65E5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65E50">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FD" w:rsidRDefault="00D911FD" w:rsidP="00534F7F">
      <w:pPr>
        <w:spacing w:after="0" w:line="240" w:lineRule="auto"/>
      </w:pPr>
      <w:r>
        <w:separator/>
      </w:r>
    </w:p>
  </w:footnote>
  <w:footnote w:type="continuationSeparator" w:id="0">
    <w:p w:rsidR="00D911FD" w:rsidRDefault="00D911F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116355"/>
    <w:rsid w:val="001368C2"/>
    <w:rsid w:val="0015666B"/>
    <w:rsid w:val="00164950"/>
    <w:rsid w:val="001E791F"/>
    <w:rsid w:val="001F16FF"/>
    <w:rsid w:val="0020508C"/>
    <w:rsid w:val="00271BDB"/>
    <w:rsid w:val="002F0FD6"/>
    <w:rsid w:val="00322432"/>
    <w:rsid w:val="003230A8"/>
    <w:rsid w:val="003C0F72"/>
    <w:rsid w:val="003D72D5"/>
    <w:rsid w:val="00406E3A"/>
    <w:rsid w:val="004232E9"/>
    <w:rsid w:val="00437CF7"/>
    <w:rsid w:val="004B24B6"/>
    <w:rsid w:val="00534F7F"/>
    <w:rsid w:val="00561AEB"/>
    <w:rsid w:val="00587671"/>
    <w:rsid w:val="005A2EF7"/>
    <w:rsid w:val="005B0C52"/>
    <w:rsid w:val="005B25C0"/>
    <w:rsid w:val="006319F6"/>
    <w:rsid w:val="00634E90"/>
    <w:rsid w:val="0064705C"/>
    <w:rsid w:val="006C1A32"/>
    <w:rsid w:val="00846AD8"/>
    <w:rsid w:val="008B1B67"/>
    <w:rsid w:val="00900183"/>
    <w:rsid w:val="00925B46"/>
    <w:rsid w:val="009A0B72"/>
    <w:rsid w:val="00A5214F"/>
    <w:rsid w:val="00BE3E80"/>
    <w:rsid w:val="00C16ADC"/>
    <w:rsid w:val="00CC3E17"/>
    <w:rsid w:val="00CD5D98"/>
    <w:rsid w:val="00CF5DBC"/>
    <w:rsid w:val="00D00CA5"/>
    <w:rsid w:val="00D04D2D"/>
    <w:rsid w:val="00D23B84"/>
    <w:rsid w:val="00D65E50"/>
    <w:rsid w:val="00D911FD"/>
    <w:rsid w:val="00E63D92"/>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B03A"/>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D5D98"/>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C1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bartin.edu.tr/mevzuat/e68a6371d44b6b4eb668d8b48cc70b43/dosap-usul-ve-esaslaryeni.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HP</cp:lastModifiedBy>
  <cp:revision>4</cp:revision>
  <cp:lastPrinted>2025-06-22T16:45:00Z</cp:lastPrinted>
  <dcterms:created xsi:type="dcterms:W3CDTF">2025-06-22T16:45:00Z</dcterms:created>
  <dcterms:modified xsi:type="dcterms:W3CDTF">2025-06-22T16:45:00Z</dcterms:modified>
</cp:coreProperties>
</file>