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71F85" w14:textId="34E2897D" w:rsidR="00A83F78" w:rsidRDefault="00572E03" w:rsidP="00663F8A">
      <w:pPr>
        <w:jc w:val="center"/>
        <w:rPr>
          <w:rFonts w:ascii="Cambria" w:hAnsi="Cambria"/>
          <w:b/>
          <w:sz w:val="24"/>
        </w:rPr>
      </w:pPr>
      <w:r w:rsidRPr="00572E03">
        <w:rPr>
          <w:rFonts w:ascii="Cambria" w:hAnsi="Cambria"/>
          <w:b/>
          <w:sz w:val="24"/>
        </w:rPr>
        <w:t>FACULTY OF HUMANITIES AND SOCIAL SCIENCES GRADUATION COMMISSION ORGANIZATIONAL CHART</w:t>
      </w:r>
    </w:p>
    <w:tbl>
      <w:tblPr>
        <w:tblStyle w:val="TabloKlavuzu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2554"/>
        <w:gridCol w:w="1487"/>
      </w:tblGrid>
      <w:tr w:rsidR="00336575" w14:paraId="55137BAC" w14:textId="77777777" w:rsidTr="00FA3DEF">
        <w:tc>
          <w:tcPr>
            <w:tcW w:w="5000" w:type="pct"/>
            <w:gridSpan w:val="3"/>
            <w:shd w:val="clear" w:color="auto" w:fill="EDEDED" w:themeFill="accent3" w:themeFillTint="33"/>
            <w:vAlign w:val="center"/>
            <w:hideMark/>
          </w:tcPr>
          <w:p w14:paraId="7896E437" w14:textId="704CD8BF" w:rsidR="00336575" w:rsidRDefault="00572E03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GRADUATION COMMISSION</w:t>
            </w:r>
          </w:p>
        </w:tc>
      </w:tr>
      <w:tr w:rsidR="00336575" w14:paraId="7897B3A3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7F322704" w14:textId="4385F3FE" w:rsidR="00336575" w:rsidRDefault="00572E03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 Commission</w:t>
            </w:r>
          </w:p>
        </w:tc>
      </w:tr>
      <w:tr w:rsidR="00FA3DEF" w14:paraId="29C96D87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1563D43F" w14:textId="2D5600E8" w:rsidR="00336575" w:rsidRDefault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4BE6F637" w14:textId="53DF4437" w:rsidR="00336575" w:rsidRDefault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1E026254" w14:textId="27D657A5" w:rsidR="00336575" w:rsidRDefault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FA3DEF" w14:paraId="74826E97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  <w:hideMark/>
          </w:tcPr>
          <w:p w14:paraId="2252B0A0" w14:textId="6819AE96" w:rsidR="00336575" w:rsidRDefault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336575">
              <w:rPr>
                <w:rFonts w:ascii="Cambria" w:hAnsi="Cambria"/>
                <w:b/>
                <w:color w:val="002060"/>
              </w:rPr>
              <w:t>Ahmet ALTAY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1C718782" w14:textId="36620B2A" w:rsidR="00336575" w:rsidRDefault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6F1AE78F" w14:textId="6793C267" w:rsidR="00336575" w:rsidRDefault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6369C2" w14:paraId="22C58CED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  <w:hideMark/>
          </w:tcPr>
          <w:p w14:paraId="489239CB" w14:textId="0CBD8E8F" w:rsidR="006369C2" w:rsidRDefault="00572E03" w:rsidP="006369C2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6369C2">
              <w:rPr>
                <w:rFonts w:ascii="Cambria" w:hAnsi="Cambria"/>
                <w:b/>
                <w:color w:val="002060"/>
              </w:rPr>
              <w:t>Huriye ÇOLAKLAR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4B79F6F3" w14:textId="21E89F23" w:rsidR="006369C2" w:rsidRDefault="00572E03" w:rsidP="006369C2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26D3F9FE" w14:textId="6F744BD4" w:rsidR="006369C2" w:rsidRDefault="00572E03" w:rsidP="006369C2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6369C2" w14:paraId="2D207F8D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</w:tcPr>
          <w:p w14:paraId="5B3A8A5C" w14:textId="6B672A07" w:rsidR="006369C2" w:rsidRDefault="00572E03" w:rsidP="006369C2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6369C2">
              <w:rPr>
                <w:rFonts w:ascii="Cambria" w:hAnsi="Cambria"/>
                <w:b/>
                <w:color w:val="002060"/>
              </w:rPr>
              <w:t>Lale ÖZDEMİR ŞAHİN</w:t>
            </w:r>
          </w:p>
        </w:tc>
        <w:tc>
          <w:tcPr>
            <w:tcW w:w="1408" w:type="pct"/>
            <w:shd w:val="clear" w:color="auto" w:fill="FBE4D5" w:themeFill="accent2" w:themeFillTint="33"/>
          </w:tcPr>
          <w:p w14:paraId="6DBF707D" w14:textId="32FBE2EF" w:rsidR="006369C2" w:rsidRDefault="00572E03" w:rsidP="006369C2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68BFBD2B" w14:textId="4237ADD0" w:rsidR="006369C2" w:rsidRDefault="00572E03" w:rsidP="006369C2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672A6659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  <w:hideMark/>
          </w:tcPr>
          <w:p w14:paraId="0A37501D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5DAB6C7B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02EB378F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3F6388C7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5EDB953E" w14:textId="3CBEA895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Literatures Department Commission</w:t>
            </w:r>
          </w:p>
        </w:tc>
      </w:tr>
      <w:tr w:rsidR="00572E03" w14:paraId="26CB55E3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591ADD11" w14:textId="4587495C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6BDAA2A0" w14:textId="589780F0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7558CD75" w14:textId="2559F32A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6D5E17A5" w14:textId="77777777" w:rsidTr="00994FC7">
        <w:tc>
          <w:tcPr>
            <w:tcW w:w="2772" w:type="pct"/>
            <w:shd w:val="clear" w:color="auto" w:fill="FBE4D5" w:themeFill="accent2" w:themeFillTint="33"/>
            <w:vAlign w:val="center"/>
            <w:hideMark/>
          </w:tcPr>
          <w:p w14:paraId="40D6FE49" w14:textId="55CC2CA3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5ACA8608" w14:textId="3E658CD2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2599B9FC" w14:textId="7A00E78D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99E10F2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  <w:hideMark/>
          </w:tcPr>
          <w:p w14:paraId="02818A30" w14:textId="379C2B74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Savaş KARAGÖZLÜ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32F2A264" w14:textId="555EC6B5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33B3B031" w14:textId="20FFE65A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48ED84BA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  <w:hideMark/>
          </w:tcPr>
          <w:p w14:paraId="26FC7436" w14:textId="072F4FDE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Rabia Elif ÇEVİKER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06A53AA3" w14:textId="469B8DB7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5CCDC6C4" w14:textId="6F840580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6A05A809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  <w:hideMark/>
          </w:tcPr>
          <w:p w14:paraId="5A39BBE3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41C8F396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72A3D3EC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48F78F29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28F45B07" w14:textId="7AA987FF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Philosophy Department Commission</w:t>
            </w:r>
          </w:p>
        </w:tc>
      </w:tr>
      <w:tr w:rsidR="00572E03" w14:paraId="0351FF9D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0E530C6B" w14:textId="5C9D9FAD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02BE4D16" w14:textId="72F39D84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2DDC5EF6" w14:textId="13B53374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094D2484" w14:textId="77777777" w:rsidTr="00962D6A">
        <w:tc>
          <w:tcPr>
            <w:tcW w:w="2772" w:type="pct"/>
            <w:shd w:val="clear" w:color="auto" w:fill="FBE4D5" w:themeFill="accent2" w:themeFillTint="33"/>
            <w:vAlign w:val="center"/>
          </w:tcPr>
          <w:p w14:paraId="1EFD86DF" w14:textId="24E8E93A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Berk UTKAN ATBAKAN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49EC8143" w14:textId="795CCDCF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4A5D8BA2" w14:textId="40538684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3D4B5991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</w:tcPr>
          <w:p w14:paraId="6DDE4AD4" w14:textId="6920DDCC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Svıtlana NESTEROVA COŞKUN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7BFEE99F" w14:textId="73F7EA35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2C2EF91D" w14:textId="37F16C60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0C76EFF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</w:tcPr>
          <w:p w14:paraId="559D8E20" w14:textId="5230A28A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Fahriye YARAŞ ELALMIŞ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4B1B8388" w14:textId="38D7DD57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3394AE53" w14:textId="2B33A1BD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0D0B940D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0E27B00A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60061E4C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44EAFD9C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5267112C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793B021C" w14:textId="2E63AB81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Department Commission</w:t>
            </w:r>
          </w:p>
        </w:tc>
      </w:tr>
      <w:tr w:rsidR="00572E03" w14:paraId="11F16260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38C2E5C4" w14:textId="5DCEC3FF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39B8DC1D" w14:textId="5F67B64E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36E78BF1" w14:textId="5C792A2E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1AD5CC97" w14:textId="77777777" w:rsidTr="00753BD2">
        <w:tc>
          <w:tcPr>
            <w:tcW w:w="2772" w:type="pct"/>
            <w:shd w:val="clear" w:color="auto" w:fill="FBE4D5" w:themeFill="accent2" w:themeFillTint="33"/>
            <w:vAlign w:val="center"/>
            <w:hideMark/>
          </w:tcPr>
          <w:p w14:paraId="44B5D026" w14:textId="6A0632B7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Mehmet Cem ODACIOĞLU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2287ED93" w14:textId="48433A2F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2A54ACE6" w14:textId="0B6EAE94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7BF2E02E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  <w:hideMark/>
          </w:tcPr>
          <w:p w14:paraId="7DFE3A60" w14:textId="22AC1C71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Fadime ÇOBAN ODACIOĞLU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659010C0" w14:textId="2639BA8F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1B20D1E6" w14:textId="738BFA89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8F20A9D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</w:tcPr>
          <w:p w14:paraId="266F7A3F" w14:textId="3E8C7B1F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Göknur ÖNER ATEŞ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3221C7CD" w14:textId="070035EA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198114E6" w14:textId="44691162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4B94D5A5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3DEEC669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3656B9AB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45FB0818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609CF60E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15F477A9" w14:textId="1B990C9D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Psychology Department Commission</w:t>
            </w:r>
          </w:p>
        </w:tc>
      </w:tr>
      <w:tr w:rsidR="00572E03" w14:paraId="2A4013D8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44B6BC4B" w14:textId="186E22DF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4CB25A6D" w14:textId="31FDA185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68A54904" w14:textId="6F7E65CD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3AC6D51C" w14:textId="77777777" w:rsidTr="00C763CF">
        <w:tc>
          <w:tcPr>
            <w:tcW w:w="2772" w:type="pct"/>
            <w:shd w:val="clear" w:color="auto" w:fill="FBE4D5" w:themeFill="accent2" w:themeFillTint="33"/>
            <w:vAlign w:val="bottom"/>
          </w:tcPr>
          <w:p w14:paraId="184C0DDD" w14:textId="0E002632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Sevinç AKKAYA TAHTA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5A7C0B71" w14:textId="4B56FDCF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6ED59FD9" w14:textId="21E5C585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641F6EFA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</w:tcPr>
          <w:p w14:paraId="630D7AE6" w14:textId="63495B21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Gamze UYKUCU ARMUTCUOĞLU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589C7337" w14:textId="0BF1E2D2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2EBBCCD6" w14:textId="1EBD7AF3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2AC9796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</w:tcPr>
          <w:p w14:paraId="2C2CF3CB" w14:textId="1A699C34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072A0E17" w14:textId="55E90576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3BFB66C9" w14:textId="3518264C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049F31CB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53128261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62486C05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4101652C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23244571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0E4E4240" w14:textId="3277D51F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 Commission</w:t>
            </w:r>
          </w:p>
        </w:tc>
      </w:tr>
      <w:tr w:rsidR="00572E03" w14:paraId="06BBD2BA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37FC04A3" w14:textId="29AF970F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491A7CA3" w14:textId="32049F2E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5C28E4AC" w14:textId="2C66B3D9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605573EA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2230FD4A" w14:textId="158BE77F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Yunus ASLAN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3FBFBB00" w14:textId="06416162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429CEBE4" w14:textId="124DA971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C4349A2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  <w:hideMark/>
          </w:tcPr>
          <w:p w14:paraId="693EB6AF" w14:textId="39212316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lastRenderedPageBreak/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Ali BORA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744267D7" w14:textId="254B27C1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4C728B87" w14:textId="056F0019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2BDB5B47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09285001" w14:textId="1F6A63C0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Dr.</w:t>
            </w:r>
            <w:r w:rsidRPr="00203992">
              <w:rPr>
                <w:rFonts w:ascii="Cambria" w:hAnsi="Cambria"/>
                <w:b/>
                <w:color w:val="002060"/>
              </w:rPr>
              <w:t xml:space="preserve"> Kıvanç KOÇAK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25BA3AB9" w14:textId="1845A897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2232D5F0" w14:textId="09DDB205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4B99056E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1299C43A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  <w:vAlign w:val="center"/>
          </w:tcPr>
          <w:p w14:paraId="4DDBEF00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3461D779" w14:textId="77777777" w:rsidR="00336575" w:rsidRDefault="00336575" w:rsidP="00336575"/>
        </w:tc>
      </w:tr>
      <w:tr w:rsidR="00336575" w14:paraId="227FB800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367E71D5" w14:textId="1D55CA52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Sociology Department Commission</w:t>
            </w:r>
          </w:p>
        </w:tc>
      </w:tr>
      <w:tr w:rsidR="00572E03" w14:paraId="4CFA572C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41BCCA23" w14:textId="19C592A6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676F155F" w14:textId="14477F6A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4AD3686A" w14:textId="2B27CFBC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193BEF79" w14:textId="77777777" w:rsidTr="008E3F6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0F269D23" w14:textId="39D71D53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Pr="00203992">
              <w:rPr>
                <w:rFonts w:ascii="Cambria" w:hAnsi="Cambria"/>
                <w:b/>
                <w:color w:val="002060"/>
              </w:rPr>
              <w:t>. Berna FİLDİŞ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65179D3C" w14:textId="0DF5904F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14343101" w14:textId="468C998F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3CA845D5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  <w:hideMark/>
          </w:tcPr>
          <w:p w14:paraId="7149AD60" w14:textId="71C30592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Pr="00203992">
              <w:rPr>
                <w:rFonts w:ascii="Cambria" w:hAnsi="Cambria"/>
                <w:b/>
                <w:color w:val="002060"/>
              </w:rPr>
              <w:t>. Birgül KOÇAK OKSEV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702C5FE2" w14:textId="62DBA193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6F7E78BC" w14:textId="096A6BB2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342E748F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30055523" w14:textId="4446EA58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Gülsen ÇANKAL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6DC5D04C" w14:textId="1CE20618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711A7A03" w14:textId="64F8361F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3CF2D8B6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0FB78278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1FC39945" w14:textId="77777777" w:rsidR="00336575" w:rsidRDefault="00336575" w:rsidP="00336575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0562CB0E" w14:textId="77777777" w:rsidR="00336575" w:rsidRDefault="00336575" w:rsidP="00336575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336575" w14:paraId="5B419BEF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0779F422" w14:textId="2D565AC6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History Department Commission</w:t>
            </w:r>
          </w:p>
        </w:tc>
      </w:tr>
      <w:tr w:rsidR="00572E03" w14:paraId="377B517C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54766A98" w14:textId="54A6208B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411D88BD" w14:textId="7597641D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67DCD3BB" w14:textId="36D8F030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2759D3A6" w14:textId="77777777" w:rsidTr="008E0B5A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53E3B46C" w14:textId="1272AEB6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Pr="00203992">
              <w:rPr>
                <w:rFonts w:ascii="Cambria" w:hAnsi="Cambria"/>
                <w:b/>
                <w:color w:val="002060"/>
              </w:rPr>
              <w:t>. Mustafa HİZMETLİ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15D303FE" w14:textId="44B1F184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73C379A0" w14:textId="7C03903C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72E03" w14:paraId="39D56CF3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  <w:hideMark/>
          </w:tcPr>
          <w:p w14:paraId="31A3F1B2" w14:textId="5DC2D1BB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Mine DİLEK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30A04CFB" w14:textId="3098EFE4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22E784DF" w14:textId="54C74A68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737817AA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2B96713E" w14:textId="38419EA0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Sait ÇİL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68D6127E" w14:textId="18722B61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60BC79E0" w14:textId="127CA8F2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FA3DEF" w14:paraId="34CE0A41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</w:tcPr>
          <w:p w14:paraId="62EBF3C5" w14:textId="77777777" w:rsidR="0018511C" w:rsidRPr="00203992" w:rsidRDefault="0018511C" w:rsidP="0018511C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6D98A12B" w14:textId="77777777" w:rsidR="0018511C" w:rsidRDefault="0018511C" w:rsidP="0018511C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2946DB82" w14:textId="77777777" w:rsidR="0018511C" w:rsidRDefault="0018511C" w:rsidP="0018511C">
            <w:pPr>
              <w:rPr>
                <w:rFonts w:ascii="Cambria" w:hAnsi="Cambria"/>
                <w:b/>
                <w:color w:val="002060"/>
              </w:rPr>
            </w:pPr>
          </w:p>
        </w:tc>
      </w:tr>
      <w:tr w:rsidR="00FA3DEF" w14:paraId="5997CC1D" w14:textId="77777777" w:rsidTr="00FA3DEF">
        <w:tc>
          <w:tcPr>
            <w:tcW w:w="2772" w:type="pct"/>
            <w:shd w:val="clear" w:color="auto" w:fill="FBE4D5" w:themeFill="accent2" w:themeFillTint="33"/>
            <w:vAlign w:val="center"/>
          </w:tcPr>
          <w:p w14:paraId="110FFD37" w14:textId="77777777" w:rsidR="00336575" w:rsidRDefault="00336575" w:rsidP="00336575"/>
        </w:tc>
        <w:tc>
          <w:tcPr>
            <w:tcW w:w="1408" w:type="pct"/>
            <w:shd w:val="clear" w:color="auto" w:fill="FBE4D5" w:themeFill="accent2" w:themeFillTint="33"/>
            <w:vAlign w:val="center"/>
          </w:tcPr>
          <w:p w14:paraId="6B699379" w14:textId="77777777" w:rsidR="00336575" w:rsidRDefault="00336575" w:rsidP="00336575"/>
        </w:tc>
        <w:tc>
          <w:tcPr>
            <w:tcW w:w="820" w:type="pct"/>
            <w:shd w:val="clear" w:color="auto" w:fill="FBE4D5" w:themeFill="accent2" w:themeFillTint="33"/>
            <w:vAlign w:val="center"/>
          </w:tcPr>
          <w:p w14:paraId="3FE9F23F" w14:textId="77777777" w:rsidR="00336575" w:rsidRDefault="00336575" w:rsidP="00336575"/>
        </w:tc>
      </w:tr>
      <w:tr w:rsidR="00336575" w14:paraId="1843262D" w14:textId="77777777" w:rsidTr="00FA3DEF">
        <w:tc>
          <w:tcPr>
            <w:tcW w:w="5000" w:type="pct"/>
            <w:gridSpan w:val="3"/>
            <w:shd w:val="clear" w:color="auto" w:fill="44546A" w:themeFill="text2"/>
            <w:vAlign w:val="center"/>
            <w:hideMark/>
          </w:tcPr>
          <w:p w14:paraId="653508F7" w14:textId="0B7882AA" w:rsidR="00336575" w:rsidRDefault="00572E03" w:rsidP="00336575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72E03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 Commission</w:t>
            </w:r>
          </w:p>
        </w:tc>
      </w:tr>
      <w:tr w:rsidR="00572E03" w14:paraId="4AE8FE9A" w14:textId="77777777" w:rsidTr="00FA3DEF">
        <w:tc>
          <w:tcPr>
            <w:tcW w:w="2772" w:type="pct"/>
            <w:shd w:val="clear" w:color="auto" w:fill="DEEAF6" w:themeFill="accent1" w:themeFillTint="33"/>
            <w:vAlign w:val="center"/>
            <w:hideMark/>
          </w:tcPr>
          <w:p w14:paraId="249CF069" w14:textId="3A710372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8" w:type="pct"/>
            <w:shd w:val="clear" w:color="auto" w:fill="DEEAF6" w:themeFill="accent1" w:themeFillTint="33"/>
            <w:vAlign w:val="center"/>
            <w:hideMark/>
          </w:tcPr>
          <w:p w14:paraId="7FFE018F" w14:textId="75C758C1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20" w:type="pct"/>
            <w:shd w:val="clear" w:color="auto" w:fill="DEEAF6" w:themeFill="accent1" w:themeFillTint="33"/>
            <w:vAlign w:val="center"/>
            <w:hideMark/>
          </w:tcPr>
          <w:p w14:paraId="1F41BFC7" w14:textId="012819F8" w:rsidR="00572E03" w:rsidRDefault="00572E03" w:rsidP="00572E03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72E03" w14:paraId="53D76808" w14:textId="77777777" w:rsidTr="001C6512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072385F9" w14:textId="5715F49A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</w:t>
            </w:r>
            <w:r w:rsidRPr="00203992">
              <w:rPr>
                <w:rFonts w:ascii="Cambria" w:hAnsi="Cambria"/>
                <w:b/>
                <w:color w:val="002060"/>
              </w:rPr>
              <w:t>. Macit BALIK</w:t>
            </w:r>
          </w:p>
        </w:tc>
        <w:tc>
          <w:tcPr>
            <w:tcW w:w="1408" w:type="pct"/>
            <w:shd w:val="clear" w:color="auto" w:fill="FBE4D5" w:themeFill="accent2" w:themeFillTint="33"/>
            <w:vAlign w:val="center"/>
            <w:hideMark/>
          </w:tcPr>
          <w:p w14:paraId="72FF282D" w14:textId="766F54B2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45B4E4F2" w14:textId="36C04411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7F18CF8B" w14:textId="77777777" w:rsidTr="00FA3DEF">
        <w:tc>
          <w:tcPr>
            <w:tcW w:w="2772" w:type="pct"/>
            <w:shd w:val="clear" w:color="auto" w:fill="E2EFD9" w:themeFill="accent6" w:themeFillTint="33"/>
            <w:vAlign w:val="bottom"/>
            <w:hideMark/>
          </w:tcPr>
          <w:p w14:paraId="61127484" w14:textId="7041E11C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Kadri KURAM</w:t>
            </w:r>
          </w:p>
        </w:tc>
        <w:tc>
          <w:tcPr>
            <w:tcW w:w="1408" w:type="pct"/>
            <w:shd w:val="clear" w:color="auto" w:fill="E2EFD9" w:themeFill="accent6" w:themeFillTint="33"/>
            <w:hideMark/>
          </w:tcPr>
          <w:p w14:paraId="02CE1310" w14:textId="654EAD79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E2EFD9" w:themeFill="accent6" w:themeFillTint="33"/>
            <w:vAlign w:val="center"/>
            <w:hideMark/>
          </w:tcPr>
          <w:p w14:paraId="136D047D" w14:textId="47DEC636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72E03" w14:paraId="739BDB59" w14:textId="77777777" w:rsidTr="00FA3DEF">
        <w:tc>
          <w:tcPr>
            <w:tcW w:w="2772" w:type="pct"/>
            <w:shd w:val="clear" w:color="auto" w:fill="FBE4D5" w:themeFill="accent2" w:themeFillTint="33"/>
            <w:vAlign w:val="bottom"/>
            <w:hideMark/>
          </w:tcPr>
          <w:p w14:paraId="6A15EC57" w14:textId="1F4A67BA" w:rsidR="00572E03" w:rsidRPr="00203992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203992">
              <w:rPr>
                <w:rFonts w:ascii="Cambria" w:hAnsi="Cambria"/>
                <w:b/>
                <w:color w:val="002060"/>
              </w:rPr>
              <w:t>Yılmaz TOP</w:t>
            </w:r>
          </w:p>
        </w:tc>
        <w:tc>
          <w:tcPr>
            <w:tcW w:w="1408" w:type="pct"/>
            <w:shd w:val="clear" w:color="auto" w:fill="FBE4D5" w:themeFill="accent2" w:themeFillTint="33"/>
            <w:hideMark/>
          </w:tcPr>
          <w:p w14:paraId="4D1900BB" w14:textId="309C9A63" w:rsidR="00572E03" w:rsidRDefault="00572E03" w:rsidP="00572E03">
            <w:r w:rsidRPr="00572E03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20" w:type="pct"/>
            <w:shd w:val="clear" w:color="auto" w:fill="FBE4D5" w:themeFill="accent2" w:themeFillTint="33"/>
            <w:vAlign w:val="center"/>
            <w:hideMark/>
          </w:tcPr>
          <w:p w14:paraId="10C49E0B" w14:textId="3F62476E" w:rsidR="00572E03" w:rsidRDefault="00572E03" w:rsidP="00572E03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6369C2" w14:paraId="1F72F646" w14:textId="77777777" w:rsidTr="00FA3DEF">
        <w:tc>
          <w:tcPr>
            <w:tcW w:w="2772" w:type="pct"/>
            <w:shd w:val="clear" w:color="auto" w:fill="E2EFD9" w:themeFill="accent6" w:themeFillTint="33"/>
            <w:vAlign w:val="center"/>
          </w:tcPr>
          <w:p w14:paraId="08CE6F91" w14:textId="77777777" w:rsidR="006369C2" w:rsidRDefault="006369C2" w:rsidP="006369C2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8" w:type="pct"/>
            <w:shd w:val="clear" w:color="auto" w:fill="E2EFD9" w:themeFill="accent6" w:themeFillTint="33"/>
          </w:tcPr>
          <w:p w14:paraId="61CDCEAD" w14:textId="77777777" w:rsidR="006369C2" w:rsidRDefault="006369C2" w:rsidP="006369C2"/>
        </w:tc>
        <w:tc>
          <w:tcPr>
            <w:tcW w:w="820" w:type="pct"/>
            <w:shd w:val="clear" w:color="auto" w:fill="E2EFD9" w:themeFill="accent6" w:themeFillTint="33"/>
            <w:vAlign w:val="center"/>
          </w:tcPr>
          <w:p w14:paraId="6BB9E253" w14:textId="77777777" w:rsidR="006369C2" w:rsidRDefault="006369C2" w:rsidP="006369C2">
            <w:pPr>
              <w:rPr>
                <w:rFonts w:ascii="Cambria" w:hAnsi="Cambria"/>
                <w:b/>
                <w:color w:val="002060"/>
              </w:rPr>
            </w:pPr>
          </w:p>
        </w:tc>
      </w:tr>
    </w:tbl>
    <w:p w14:paraId="23DE523C" w14:textId="77777777" w:rsidR="00E51066" w:rsidRPr="00353023" w:rsidRDefault="00E51066" w:rsidP="00353023">
      <w:pPr>
        <w:rPr>
          <w:rFonts w:ascii="Cambria" w:hAnsi="Cambria"/>
        </w:rPr>
      </w:pPr>
    </w:p>
    <w:p w14:paraId="25595024" w14:textId="308271F6" w:rsidR="00CC2338" w:rsidRDefault="008E0A87" w:rsidP="00140FDF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5F53A48E" wp14:editId="02D7E2C0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5734050" cy="4762500"/>
            <wp:effectExtent l="0" t="19050" r="0" b="19050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E03" w:rsidRPr="00572E03">
        <w:t xml:space="preserve"> </w:t>
      </w:r>
      <w:r w:rsidR="00572E03" w:rsidRPr="00572E03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Graduation Commission Organizational Chart</w:t>
      </w:r>
    </w:p>
    <w:p w14:paraId="52E56223" w14:textId="77777777" w:rsidR="00CC2338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p w14:paraId="07547A01" w14:textId="77777777" w:rsidR="006E5158" w:rsidRPr="00663F8A" w:rsidRDefault="006E515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14:paraId="290A02A4" w14:textId="77777777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1F0CF3C" w14:textId="131ACB99" w:rsidR="00A83F78" w:rsidRPr="00A83F78" w:rsidRDefault="00572E03" w:rsidP="00D174E8">
            <w:pPr>
              <w:rPr>
                <w:rFonts w:ascii="Cambria" w:hAnsi="Cambria"/>
                <w:b/>
                <w:color w:val="002060"/>
              </w:rPr>
            </w:pPr>
            <w:r w:rsidRPr="00572E03">
              <w:rPr>
                <w:rFonts w:ascii="Cambria" w:hAnsi="Cambria"/>
                <w:b/>
                <w:color w:val="002060"/>
                <w:sz w:val="24"/>
              </w:rPr>
              <w:t>Duties of the Graduation Commission</w:t>
            </w:r>
          </w:p>
        </w:tc>
      </w:tr>
      <w:tr w:rsidR="00C1347B" w:rsidRPr="000131C4" w14:paraId="736D29DD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15E25BE2" w14:textId="501DF0D7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supervise whether the student has fulfilled all academic and administrative obligations and ensure the official approval of graduation</w:t>
            </w:r>
            <w:r w:rsidR="000131C4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4C77E654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554CC25D" w14:textId="3A8FD7F3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examine whether the student has successfully completed all courses foreseen in the program</w:t>
            </w:r>
            <w:r w:rsidR="000131C4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41207110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51ECDCAD" w14:textId="5F399581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check whether the required credit (ECTS</w:t>
            </w:r>
            <w:r w:rsidRPr="00EE4803">
              <w:rPr>
                <w:rFonts w:ascii="Cambria" w:hAnsi="Cambria"/>
              </w:rPr>
              <w:t>=AKTS</w:t>
            </w:r>
            <w:r w:rsidRPr="00EE4803">
              <w:rPr>
                <w:rFonts w:ascii="Cambria" w:hAnsi="Cambria"/>
              </w:rPr>
              <w:t>) load has been fulfilled</w:t>
            </w:r>
            <w:r w:rsidR="000131C4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7E356734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7AEA76C8" w14:textId="4FA67447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evaluate whether the compulsory internship, project, or graduation thesis has been completed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66B2ABC8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73498718" w14:textId="2E2EEA14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check whether the grade point average (GPA</w:t>
            </w:r>
            <w:r w:rsidRPr="00EE4803">
              <w:rPr>
                <w:rFonts w:ascii="Cambria" w:hAnsi="Cambria"/>
              </w:rPr>
              <w:t>=GNO</w:t>
            </w:r>
            <w:r w:rsidRPr="00EE4803">
              <w:rPr>
                <w:rFonts w:ascii="Cambria" w:hAnsi="Cambria"/>
              </w:rPr>
              <w:t>) is sufficient for graduation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69E1E178" w14:textId="77777777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14:paraId="25DEEAA5" w14:textId="033CEB60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determine whether there are a</w:t>
            </w:r>
            <w:r w:rsidRPr="00EE4803">
              <w:rPr>
                <w:rFonts w:ascii="Cambria" w:hAnsi="Cambria"/>
              </w:rPr>
              <w:t>ny failed or incomplete courses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4D25D312" w14:textId="77777777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14:paraId="48C01A21" w14:textId="15491BC4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evaluate grade appeals or corrections, if any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C1347B" w:rsidRPr="000131C4" w14:paraId="76620DC5" w14:textId="77777777" w:rsidTr="00C863EE">
        <w:tc>
          <w:tcPr>
            <w:tcW w:w="5000" w:type="pct"/>
            <w:shd w:val="clear" w:color="auto" w:fill="E2EFD9" w:themeFill="accent6" w:themeFillTint="33"/>
            <w:vAlign w:val="center"/>
          </w:tcPr>
          <w:p w14:paraId="55F23746" w14:textId="0F37DC88" w:rsidR="00C1347B" w:rsidRPr="00EE4803" w:rsidRDefault="00572E03" w:rsidP="00C1347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determine the students who are entitled to graduate, officially approve the decisions, and notify the relevant units; to make conditional graduation or postponement decisions when necessary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41422B" w:rsidRPr="000131C4" w14:paraId="6FCF9730" w14:textId="77777777" w:rsidTr="00C85EFA">
        <w:tc>
          <w:tcPr>
            <w:tcW w:w="5000" w:type="pct"/>
            <w:shd w:val="clear" w:color="auto" w:fill="FBE4D5" w:themeFill="accent2" w:themeFillTint="33"/>
            <w:vAlign w:val="center"/>
          </w:tcPr>
          <w:p w14:paraId="2AD5E0FE" w14:textId="41CF6905" w:rsidR="0041422B" w:rsidRPr="00EE4803" w:rsidRDefault="00572E03" w:rsidP="0041422B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create the lists of students to graduate, submit the lists to the faculty administration, and ensure the accuracy of the records constituting the basis for the diploma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0131C4" w:rsidRPr="000131C4" w14:paraId="627490BE" w14:textId="77777777" w:rsidTr="00F91628">
        <w:tc>
          <w:tcPr>
            <w:tcW w:w="5000" w:type="pct"/>
            <w:shd w:val="clear" w:color="auto" w:fill="E2EFD9" w:themeFill="accent6" w:themeFillTint="33"/>
            <w:vAlign w:val="center"/>
          </w:tcPr>
          <w:p w14:paraId="49E3AF25" w14:textId="6BCAF1CD" w:rsidR="000131C4" w:rsidRPr="00EE4803" w:rsidRDefault="00572E03" w:rsidP="00F9162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lastRenderedPageBreak/>
              <w:t>To check the accuracy of the diploma, temporary graduation certificate, and transcript information, and ensure coordination with the relevant units for the issuance of the documents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0131C4" w:rsidRPr="000131C4" w14:paraId="6DD5B20F" w14:textId="77777777" w:rsidTr="00F91628">
        <w:tc>
          <w:tcPr>
            <w:tcW w:w="5000" w:type="pct"/>
            <w:shd w:val="clear" w:color="auto" w:fill="FBE4D5" w:themeFill="accent2" w:themeFillTint="33"/>
            <w:vAlign w:val="center"/>
          </w:tcPr>
          <w:p w14:paraId="5E0700BB" w14:textId="6ACADEED" w:rsidR="000131C4" w:rsidRPr="00EE4803" w:rsidRDefault="00EE4803" w:rsidP="00F9162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</w:t>
            </w:r>
            <w:r w:rsidR="00572E03" w:rsidRPr="00EE4803">
              <w:rPr>
                <w:rFonts w:ascii="Cambria" w:hAnsi="Cambria"/>
              </w:rPr>
              <w:t>o examine whether the student has a disciplinary penalty and check whether there is an administrative situation preventing graduation (debt, deregistration, etc.)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0131C4" w:rsidRPr="000131C4" w14:paraId="2760AA75" w14:textId="77777777" w:rsidTr="00F91628">
        <w:tc>
          <w:tcPr>
            <w:tcW w:w="5000" w:type="pct"/>
            <w:shd w:val="clear" w:color="auto" w:fill="E2EFD9" w:themeFill="accent6" w:themeFillTint="33"/>
            <w:vAlign w:val="center"/>
          </w:tcPr>
          <w:p w14:paraId="13D20391" w14:textId="30E2CFDC" w:rsidR="000131C4" w:rsidRPr="00EE4803" w:rsidRDefault="00EE4803" w:rsidP="00F9162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take into consideration the adaptation processes of students making lateral/vertical transfers</w:t>
            </w:r>
            <w:r w:rsidR="00140FDF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0131C4" w:rsidRPr="000131C4" w14:paraId="72E95858" w14:textId="77777777" w:rsidTr="00F91628">
        <w:tc>
          <w:tcPr>
            <w:tcW w:w="5000" w:type="pct"/>
            <w:shd w:val="clear" w:color="auto" w:fill="FBE4D5" w:themeFill="accent2" w:themeFillTint="33"/>
            <w:vAlign w:val="center"/>
          </w:tcPr>
          <w:p w14:paraId="79221F2B" w14:textId="6BCB3A15" w:rsidR="000131C4" w:rsidRPr="00EE4803" w:rsidRDefault="00EE4803" w:rsidP="00F91628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examine the status of students who have completed double major / minor programs</w:t>
            </w:r>
            <w:r w:rsidR="00140FDF" w:rsidRPr="00EE4803">
              <w:rPr>
                <w:rFonts w:ascii="Cambria" w:hAnsi="Cambria"/>
                <w:color w:val="002060"/>
              </w:rPr>
              <w:t>.</w:t>
            </w:r>
          </w:p>
        </w:tc>
      </w:tr>
      <w:tr w:rsidR="00F92862" w:rsidRPr="000131C4" w14:paraId="1663B144" w14:textId="77777777" w:rsidTr="00F91628">
        <w:tc>
          <w:tcPr>
            <w:tcW w:w="5000" w:type="pct"/>
            <w:shd w:val="clear" w:color="auto" w:fill="E2EFD9" w:themeFill="accent6" w:themeFillTint="33"/>
            <w:vAlign w:val="center"/>
          </w:tcPr>
          <w:p w14:paraId="76C421C3" w14:textId="531E1BF3" w:rsidR="00F92862" w:rsidRPr="00EE4803" w:rsidRDefault="00EE4803" w:rsidP="00F92862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</w:rPr>
            </w:pPr>
            <w:r w:rsidRPr="00EE4803">
              <w:rPr>
                <w:rFonts w:ascii="Cambria" w:hAnsi="Cambria"/>
              </w:rPr>
              <w:t>To carry out all procedures in accordance with the relevant higher education legislation</w:t>
            </w:r>
            <w:r w:rsidR="00F92862" w:rsidRPr="00EE4803">
              <w:rPr>
                <w:rFonts w:ascii="Cambria" w:hAnsi="Cambria"/>
                <w:color w:val="002060"/>
              </w:rPr>
              <w:t>.</w:t>
            </w:r>
          </w:p>
        </w:tc>
      </w:tr>
    </w:tbl>
    <w:p w14:paraId="5043CB0F" w14:textId="77777777" w:rsidR="00C863EE" w:rsidRPr="000131C4" w:rsidRDefault="00C863EE" w:rsidP="00D174E8">
      <w:pPr>
        <w:rPr>
          <w:rFonts w:ascii="Cambria" w:hAnsi="Cambria"/>
          <w:b/>
          <w:color w:val="002060"/>
        </w:rPr>
      </w:pPr>
    </w:p>
    <w:p w14:paraId="07459315" w14:textId="77777777" w:rsidR="004A5E79" w:rsidRPr="000131C4" w:rsidRDefault="004A5E79" w:rsidP="00D174E8">
      <w:pPr>
        <w:rPr>
          <w:rFonts w:ascii="Cambria" w:hAnsi="Cambria"/>
          <w:b/>
          <w:color w:val="002060"/>
        </w:rPr>
      </w:pPr>
      <w:bookmarkStart w:id="0" w:name="_GoBack"/>
      <w:bookmarkEnd w:id="0"/>
    </w:p>
    <w:sectPr w:rsidR="004A5E79" w:rsidRPr="0001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2878C" w14:textId="77777777" w:rsidR="00B730BC" w:rsidRDefault="00B730BC" w:rsidP="00D174E8">
      <w:pPr>
        <w:spacing w:after="0" w:line="240" w:lineRule="auto"/>
      </w:pPr>
      <w:r>
        <w:separator/>
      </w:r>
    </w:p>
  </w:endnote>
  <w:endnote w:type="continuationSeparator" w:id="0">
    <w:p w14:paraId="1E6620FA" w14:textId="77777777" w:rsidR="00B730BC" w:rsidRDefault="00B730BC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939E" w14:textId="77777777" w:rsidR="00B730BC" w:rsidRDefault="00B730BC" w:rsidP="00D174E8">
      <w:pPr>
        <w:spacing w:after="0" w:line="240" w:lineRule="auto"/>
      </w:pPr>
      <w:r>
        <w:separator/>
      </w:r>
    </w:p>
  </w:footnote>
  <w:footnote w:type="continuationSeparator" w:id="0">
    <w:p w14:paraId="3A096DE7" w14:textId="77777777" w:rsidR="00B730BC" w:rsidRDefault="00B730BC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131C4"/>
    <w:rsid w:val="0006767A"/>
    <w:rsid w:val="000E461F"/>
    <w:rsid w:val="00140FDF"/>
    <w:rsid w:val="0018511C"/>
    <w:rsid w:val="001C03D5"/>
    <w:rsid w:val="00203992"/>
    <w:rsid w:val="00261B32"/>
    <w:rsid w:val="002D2D0A"/>
    <w:rsid w:val="002D51C2"/>
    <w:rsid w:val="00336575"/>
    <w:rsid w:val="00353023"/>
    <w:rsid w:val="003C20D3"/>
    <w:rsid w:val="0041422B"/>
    <w:rsid w:val="004266C0"/>
    <w:rsid w:val="00436DB5"/>
    <w:rsid w:val="004A2D42"/>
    <w:rsid w:val="004A5E79"/>
    <w:rsid w:val="004F578F"/>
    <w:rsid w:val="00541E2A"/>
    <w:rsid w:val="00556B6D"/>
    <w:rsid w:val="00572E03"/>
    <w:rsid w:val="005F53E0"/>
    <w:rsid w:val="0061306E"/>
    <w:rsid w:val="006369C2"/>
    <w:rsid w:val="00644327"/>
    <w:rsid w:val="00663F8A"/>
    <w:rsid w:val="006839E5"/>
    <w:rsid w:val="0069642D"/>
    <w:rsid w:val="006E5158"/>
    <w:rsid w:val="007C0828"/>
    <w:rsid w:val="007C6663"/>
    <w:rsid w:val="007F48EE"/>
    <w:rsid w:val="0081511A"/>
    <w:rsid w:val="008E0A87"/>
    <w:rsid w:val="008E6943"/>
    <w:rsid w:val="009575DB"/>
    <w:rsid w:val="009C1A06"/>
    <w:rsid w:val="00A73B30"/>
    <w:rsid w:val="00A7619D"/>
    <w:rsid w:val="00A83F78"/>
    <w:rsid w:val="00B044E7"/>
    <w:rsid w:val="00B07ECA"/>
    <w:rsid w:val="00B730BC"/>
    <w:rsid w:val="00BA12C0"/>
    <w:rsid w:val="00C1347B"/>
    <w:rsid w:val="00C863EE"/>
    <w:rsid w:val="00CB0706"/>
    <w:rsid w:val="00CC2338"/>
    <w:rsid w:val="00D075A1"/>
    <w:rsid w:val="00D076AA"/>
    <w:rsid w:val="00D152A1"/>
    <w:rsid w:val="00D174E8"/>
    <w:rsid w:val="00D3071E"/>
    <w:rsid w:val="00D67F12"/>
    <w:rsid w:val="00DB6B5D"/>
    <w:rsid w:val="00E4539C"/>
    <w:rsid w:val="00E51066"/>
    <w:rsid w:val="00EE4803"/>
    <w:rsid w:val="00F05FA1"/>
    <w:rsid w:val="00F523E1"/>
    <w:rsid w:val="00F6446A"/>
    <w:rsid w:val="00F92862"/>
    <w:rsid w:val="00FA3DEF"/>
    <w:rsid w:val="00FE59C0"/>
    <w:rsid w:val="3EC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3B65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Graduation Commission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77899" custScaleY="451044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593365" y="141"/>
          <a:ext cx="4547318" cy="65142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612445" y="19221"/>
        <a:ext cx="4509158" cy="613266"/>
      </dsp:txXfrm>
    </dsp:sp>
    <dsp:sp modelId="{06CC3176-0D15-4BEA-B481-A6B85FB10778}">
      <dsp:nvSpPr>
        <dsp:cNvPr id="0" name=""/>
        <dsp:cNvSpPr/>
      </dsp:nvSpPr>
      <dsp:spPr>
        <a:xfrm>
          <a:off x="2821305" y="651568"/>
          <a:ext cx="91440" cy="2605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57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041643" y="912139"/>
          <a:ext cx="3650762" cy="65142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Graduation Commission</a:t>
          </a:r>
        </a:p>
      </dsp:txBody>
      <dsp:txXfrm>
        <a:off x="1060723" y="931219"/>
        <a:ext cx="3612602" cy="613266"/>
      </dsp:txXfrm>
    </dsp:sp>
    <dsp:sp modelId="{76E6E3F5-1A4D-4FD1-844A-9EA3DFBD4785}">
      <dsp:nvSpPr>
        <dsp:cNvPr id="0" name=""/>
        <dsp:cNvSpPr/>
      </dsp:nvSpPr>
      <dsp:spPr>
        <a:xfrm>
          <a:off x="2821305" y="1563565"/>
          <a:ext cx="91440" cy="2605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5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020723" y="1824136"/>
          <a:ext cx="3692603" cy="29382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1106781" y="1910194"/>
        <a:ext cx="3520487" cy="2766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22</cp:revision>
  <dcterms:created xsi:type="dcterms:W3CDTF">2026-01-08T12:57:00Z</dcterms:created>
  <dcterms:modified xsi:type="dcterms:W3CDTF">2026-07-10T11:38:00Z</dcterms:modified>
</cp:coreProperties>
</file>