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9634" w:type="dxa"/>
        <w:tblLook w:val="04A0"/>
      </w:tblPr>
      <w:tblGrid>
        <w:gridCol w:w="3256"/>
        <w:gridCol w:w="6378"/>
      </w:tblGrid>
      <w:tr w:rsidR="00D31355" w:rsidRPr="00AF5935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AF5935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F5935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378" w:type="dxa"/>
          </w:tcPr>
          <w:p w:rsidR="00D31355" w:rsidRPr="00AF5935" w:rsidRDefault="006B0CFC" w:rsidP="0039048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F5935">
              <w:rPr>
                <w:rFonts w:ascii="Cambria" w:hAnsi="Cambria"/>
                <w:sz w:val="20"/>
                <w:szCs w:val="20"/>
              </w:rPr>
              <w:t>Engin GÖRBÜZ</w:t>
            </w:r>
          </w:p>
        </w:tc>
      </w:tr>
      <w:tr w:rsidR="00D31355" w:rsidRPr="00AF5935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AF5935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F5935">
              <w:rPr>
                <w:rFonts w:ascii="Cambria" w:hAnsi="Cambria"/>
                <w:b/>
                <w:color w:val="002060"/>
                <w:sz w:val="20"/>
                <w:szCs w:val="20"/>
              </w:rPr>
              <w:t>Görev Unvanı</w:t>
            </w:r>
          </w:p>
        </w:tc>
        <w:tc>
          <w:tcPr>
            <w:tcW w:w="6378" w:type="dxa"/>
          </w:tcPr>
          <w:p w:rsidR="00D31355" w:rsidRPr="00AF5935" w:rsidRDefault="006B0CFC" w:rsidP="004E327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F5935">
              <w:rPr>
                <w:rFonts w:ascii="Cambria" w:hAnsi="Cambria"/>
                <w:sz w:val="20"/>
                <w:szCs w:val="20"/>
              </w:rPr>
              <w:t>Bilgisayar İşletmeni</w:t>
            </w:r>
          </w:p>
        </w:tc>
      </w:tr>
      <w:tr w:rsidR="00D31355" w:rsidRPr="00AF5935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AF5935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F5935">
              <w:rPr>
                <w:rFonts w:ascii="Cambria" w:hAnsi="Cambria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78" w:type="dxa"/>
          </w:tcPr>
          <w:p w:rsidR="00D31355" w:rsidRPr="00AF5935" w:rsidRDefault="00C035FB" w:rsidP="00D3135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F5935">
              <w:rPr>
                <w:rFonts w:ascii="Cambria" w:hAnsi="Cambria"/>
                <w:sz w:val="20"/>
                <w:szCs w:val="20"/>
              </w:rPr>
              <w:t>Lisansüstü Eğitim</w:t>
            </w:r>
            <w:r w:rsidR="00DB3E22" w:rsidRPr="00AF5935">
              <w:rPr>
                <w:rFonts w:ascii="Cambria" w:hAnsi="Cambria"/>
                <w:sz w:val="20"/>
                <w:szCs w:val="20"/>
              </w:rPr>
              <w:t xml:space="preserve"> Enstitüsü</w:t>
            </w:r>
          </w:p>
        </w:tc>
      </w:tr>
      <w:tr w:rsidR="00D31355" w:rsidRPr="00AF5935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AF5935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F5935">
              <w:rPr>
                <w:rFonts w:ascii="Cambria" w:hAnsi="Cambria"/>
                <w:b/>
                <w:color w:val="002060"/>
                <w:sz w:val="20"/>
                <w:szCs w:val="20"/>
              </w:rPr>
              <w:t>En Yakın Yönetici</w:t>
            </w:r>
          </w:p>
        </w:tc>
        <w:tc>
          <w:tcPr>
            <w:tcW w:w="6378" w:type="dxa"/>
          </w:tcPr>
          <w:p w:rsidR="00D31355" w:rsidRPr="00AF5935" w:rsidRDefault="004E327E" w:rsidP="0005707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F5935">
              <w:rPr>
                <w:rFonts w:ascii="Cambria" w:hAnsi="Cambria"/>
                <w:sz w:val="20"/>
                <w:szCs w:val="20"/>
              </w:rPr>
              <w:t xml:space="preserve">Enstitü </w:t>
            </w:r>
            <w:r w:rsidR="00057079" w:rsidRPr="00AF5935">
              <w:rPr>
                <w:rFonts w:ascii="Cambria" w:hAnsi="Cambria"/>
                <w:sz w:val="20"/>
                <w:szCs w:val="20"/>
              </w:rPr>
              <w:t>Sekreteri</w:t>
            </w:r>
          </w:p>
        </w:tc>
      </w:tr>
      <w:tr w:rsidR="00D31355" w:rsidRPr="00AF5935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AF5935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F5935">
              <w:rPr>
                <w:rFonts w:ascii="Cambria" w:hAnsi="Cambria"/>
                <w:b/>
                <w:color w:val="002060"/>
                <w:sz w:val="20"/>
                <w:szCs w:val="20"/>
              </w:rPr>
              <w:t>Yokluğunda Vekâlet Edecek</w:t>
            </w:r>
          </w:p>
        </w:tc>
        <w:tc>
          <w:tcPr>
            <w:tcW w:w="6378" w:type="dxa"/>
          </w:tcPr>
          <w:p w:rsidR="00D31355" w:rsidRPr="00AF5935" w:rsidRDefault="006B0CFC" w:rsidP="006B0CF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F5935">
              <w:rPr>
                <w:rFonts w:ascii="Cambria" w:hAnsi="Cambria"/>
                <w:sz w:val="20"/>
                <w:szCs w:val="20"/>
              </w:rPr>
              <w:t>Bahar DEMİRBAŞ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251E7B" w:rsidRPr="00AF5935" w:rsidRDefault="00251E7B" w:rsidP="00251E7B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Personelin terfi işlemlerini; izin işlemlerini; görevden ayrılma ve emeklilik</w:t>
                  </w: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softHyphen/>
                    <w:t xml:space="preserve"> işlemlerini; sağlık raporu işlemlerini; mal bildirim işlemlerini; doğum, evlenme, ölüm vb. özlük hak işlemlerini takip etmek, yazışmalarını yapmak, </w:t>
                  </w:r>
                </w:p>
                <w:p w:rsidR="00C0597F" w:rsidRPr="00AF5935" w:rsidRDefault="00C0597F" w:rsidP="00C0597F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C0597F" w:rsidRPr="00AF5935" w:rsidRDefault="00C0597F" w:rsidP="00C0597F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Mal ve hizmet alımına yönelik olarak doğrudan temin yoluyla; ihtiyacın belirlenmesi aşamasından, ödeme emri evrakının düzenlenmesi aşamasına kadar geçen süreçleri yürütmek, takip ve kontrolünü yapmak, Ödeme evraklarını Strateji Geliştirme Daire Başkanlığına götürmek,    evrakları ödeme kalemlerine göre tanzim ederek dosyalamak,</w:t>
                  </w:r>
                </w:p>
                <w:p w:rsidR="00C0597F" w:rsidRPr="00AF5935" w:rsidRDefault="00C0597F" w:rsidP="00C0597F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0B5E07" w:rsidRPr="00AF5935" w:rsidRDefault="00C0597F" w:rsidP="000B5E07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Telefon faturalarının ödeme emirlerini hazırlamak, Satın almalara ilişkin olarak; ihtiyaçların belirlenmesinden, ödeme emri evrakının düzenlenmesine kadar geçen süreçleri yürütmek, takip ve kontrolünü yapmak,</w:t>
                  </w:r>
                </w:p>
                <w:p w:rsidR="00C0597F" w:rsidRPr="00AF5935" w:rsidRDefault="00C0597F" w:rsidP="00C0597F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Harcama birimince edinilen taşınırlardan muayene ve kabulü yapılanları cins ve niteliklerine göre sayarak, tartarak, ölçerek teslim al</w:t>
                  </w:r>
                  <w:r w:rsidR="00251E7B" w:rsidRPr="00AF5935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, doğrudan tüketilmeyen ve kullanıma verilmeyen taşınırları sorumluluğu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ndaki ambarlarda muhafaza etmek,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Muayene ve kabul işlemi hemen yapılamayan taşınırları kontrol ederek teslim al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, özellikleri nedeniyle kesin kabulleri belli bir dönem kullanıldıktan sonra yapılabilen sarf malzemeleri hariç olmak üzere, bunların kesin kabulü yapılmad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an kullanıma verilmesini önlemek,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Taşınırların giriş ve çıkışına ilişkin kayıtları tut</w:t>
                  </w:r>
                  <w:r w:rsidR="00251E7B" w:rsidRPr="00AF5935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, bunlara ilişk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in belge ve cetvelleri düzenlemek,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Tüketime veya kullanıma verilmesi uygun görülen taşı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nırları ilgililere teslim etmek,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Ambarda çalınma veya olağanüstü nedenlerden dolayı meydana gelen azalmalar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ı harcama yetkilisine bildirmek,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Ambar sayımını ve stok kontrolünü yap</w:t>
                  </w:r>
                  <w:r w:rsidR="00251E7B" w:rsidRPr="00AF5935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, harcama yetkilisince belirlenen asgari stok seviyesinin altına düşen taşınırlar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ı harcama yetkilisine bildirmek,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Kullanımda bulunan dayanıklı taşınırları bulundukları yerde kontrol e</w:t>
                  </w:r>
                  <w:r w:rsidR="00B00131" w:rsidRPr="00AF5935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, sayımlarını yaptırmak,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Kayıtlarını tuttuğu taşınırların yönetim hesabını hazırla</w:t>
                  </w:r>
                  <w:r w:rsidR="00B00131" w:rsidRPr="00AF5935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 xml:space="preserve"> ve harcama yetkilisine sunulmak üzere taşınır k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ontrol yetkilisine teslim etmek,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Ambarlarında kasıt, kusur, ihmal veya tedbirsizlikleri nedeniyle meydana gelen kayıp ve nok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sanlıkları yöneticiye bildirmek,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Ambarlarını devir ve tesli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m etmeden, görevinden ayrılmamak,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Gerçekleştirdiği faaliyetlerin akıbeti ile ilgili olarak H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arcama Yetkilisine bilgi vermek,</w:t>
                  </w:r>
                </w:p>
                <w:p w:rsidR="00A251D9" w:rsidRPr="00AF5935" w:rsidRDefault="00A251D9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Gerçekleştirdiği faaliyetlerle ilgili sorunları ve tavsiyeleri Harcama Yetkilisine ve Taş</w:t>
                  </w:r>
                  <w:r w:rsidR="009D533D" w:rsidRPr="00AF5935">
                    <w:rPr>
                      <w:rFonts w:ascii="Cambria" w:hAnsi="Cambria"/>
                      <w:sz w:val="18"/>
                      <w:szCs w:val="18"/>
                    </w:rPr>
                    <w:t>ınır Kontrol Yetkilisine iletmek,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Mal ve hizmet alımına yönelik olarak doğrudan temin yoluyla; ihtiyacın belirlenmesi aşamasından, ödeme emri evrakının düzenlenmesi aşamasına kadar geçen süreçleri yürütmek, takip ve kontrolünü yapmak, Ödeme evraklarını Strateji Geliştirme Daire Başkanlığına götürmek,    evrakları ödeme kalemlerine göre tanzim ederek dosyalamak,</w:t>
                  </w:r>
                </w:p>
                <w:p w:rsidR="00B131CC" w:rsidRPr="00AF5935" w:rsidRDefault="00B131CC" w:rsidP="00B131CC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Akademik Personele ait ek ders ödemeleri için yapılması gereken iş ve işlemler ile bunların takibini yapmak,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Birimin sorumluluğunda gerçekleştirilen, konferans, seminer vb. etkinliklere katılmak için gelen kişi/kişilerin yolluk bildirimlerini, harcama talimatlarını ve Ödeme Emri belgelerini hazırlamak,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Personelin özlük hakları ile tüm ödeme evraklarını hazırlamak,  fazla ve yersiz ödemelere ait kişi borcu iş ve işlemlerini yapmak,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Personelin yurt içi ve yurt dışı geçici görev yollukları ile sürekli görev yollukları için gerekli işlemleri yapmak ve ödeme emri belgesi düzenlemek,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Personelin sosyal güvenlik giderlerini SGK bilgi sistemine yüklemek, emekli kesenekleri icmal bordrolarını hazırlamak ve ilgili birimlere iletmek,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Personelin giysi yardımı, fazla mesai işlemlerini yapmak, icra, ikraz gibi kesintilere ilişkin hesaplarını tutmak, bu kesintiler ile ilgili işleri sonuçlandırmak ve ilgili birimlere iletmek,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Personelin kademe ilerlemesi, terfilerine ilişkin KBS ve ÜBYS yazışma ve giriş işlemlerini yapmak,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Yatırım ve analitik bütçelerinin hazırlanmasında görevli diğer personeller ile eşgüdümlü olarak çalışmak, Personel giderleri ile ilgili ödenek durumlarını kontrol edip, en yakın yöneticiyi bilgilendirmek,</w:t>
                  </w:r>
                </w:p>
                <w:p w:rsidR="0071744C" w:rsidRPr="00AF5935" w:rsidRDefault="0071744C" w:rsidP="0071744C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71744C" w:rsidRPr="00AF5935" w:rsidRDefault="0071744C" w:rsidP="0071744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lastRenderedPageBreak/>
                    <w:t>Birimi ile ilgili kurullarına girecek evrakları incelemek, gündemi hazırlamak ve kurul kararlarının yazılmasını ve dağıtılmasını yapmak,</w:t>
                  </w:r>
                </w:p>
                <w:p w:rsidR="0071744C" w:rsidRPr="00AF5935" w:rsidRDefault="0071744C" w:rsidP="0071744C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Kurul üyesi öğretim üyelerinin izin-görevlendirme-rapor durumlarını ve görev sürelerini takip etmek,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ind w:left="737" w:hanging="357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İş hacmi yoğun olan birimlere, amirin saptayacağı esaslara göre yardımcı olmak,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 xml:space="preserve">Faaliyet alanı ile ilgili kendisine havale edilen veya istenen iş ve işler ile evrakların/yazıların gereğini eşgüdümlü olarak yapmak, cevap yazılarını hazırlamak (kurum içi-kurum dışı), paraflayarak ilgili üst yönetici/yöneticilerin parafına/onayına sunmak, </w:t>
                  </w:r>
                </w:p>
                <w:p w:rsidR="003E52E4" w:rsidRPr="00AF5935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Görevleriyle ilgili evrak, taşınır ve taşınmaz malları korumak, saklamak,</w:t>
                  </w:r>
                </w:p>
                <w:p w:rsidR="003E52E4" w:rsidRPr="00AF5935" w:rsidRDefault="003E52E4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iCs/>
                      <w:sz w:val="18"/>
                      <w:szCs w:val="18"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 xml:space="preserve">Görevi ile ilgili süreçleri Üniversitemiz Kalite Politikası ve Kalite Yönetim Sistemi çerçevesinde, kalite hedefleri ve prosedürlerine uygun olarak yürütmek, </w:t>
                  </w:r>
                </w:p>
                <w:p w:rsidR="00B131CC" w:rsidRPr="00AF5935" w:rsidRDefault="00B131CC" w:rsidP="00B131CC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Üst yönetim ve Enstitü Sekreteri tarafından verilen diğer işleri iş sağlığı ve güvenliği kurallarına uygun olarak yapmak,</w:t>
                  </w:r>
                </w:p>
                <w:p w:rsidR="009D533D" w:rsidRPr="00AF5935" w:rsidRDefault="00B131CC" w:rsidP="00B131CC">
                  <w:pPr>
                    <w:pStyle w:val="AralkYok"/>
                    <w:ind w:left="742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935">
                    <w:rPr>
                      <w:rFonts w:ascii="Cambria" w:hAnsi="Cambria"/>
                      <w:sz w:val="18"/>
                      <w:szCs w:val="18"/>
                    </w:rPr>
                    <w:t>İlgili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  <w:p w:rsidR="00BD0AC9" w:rsidRPr="00BD0AC9" w:rsidRDefault="00BD0AC9" w:rsidP="00E633B6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E02CE8" w:rsidRPr="00AF5935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  <w:r w:rsidRPr="00AF5935">
              <w:rPr>
                <w:rFonts w:ascii="Calibra" w:hAnsi="Calibra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71744C" w:rsidRPr="00AF5935">
              <w:rPr>
                <w:rFonts w:ascii="Calibra" w:hAnsi="Calibra"/>
                <w:b/>
                <w:sz w:val="20"/>
                <w:szCs w:val="20"/>
              </w:rPr>
              <w:t>08</w:t>
            </w:r>
            <w:r w:rsidRPr="00AF5935">
              <w:rPr>
                <w:rFonts w:ascii="Calibra" w:hAnsi="Calibra"/>
                <w:b/>
                <w:sz w:val="20"/>
                <w:szCs w:val="20"/>
              </w:rPr>
              <w:t>/</w:t>
            </w:r>
            <w:r w:rsidR="00C0597F" w:rsidRPr="00AF5935">
              <w:rPr>
                <w:rFonts w:ascii="Calibra" w:hAnsi="Calibra"/>
                <w:b/>
                <w:sz w:val="20"/>
                <w:szCs w:val="20"/>
              </w:rPr>
              <w:t>0</w:t>
            </w:r>
            <w:r w:rsidR="0071744C" w:rsidRPr="00AF5935">
              <w:rPr>
                <w:rFonts w:ascii="Calibra" w:hAnsi="Calibra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AF5935">
              <w:rPr>
                <w:rFonts w:ascii="Calibra" w:hAnsi="Calibra"/>
                <w:b/>
                <w:sz w:val="20"/>
                <w:szCs w:val="20"/>
              </w:rPr>
              <w:t>/202</w:t>
            </w:r>
            <w:r w:rsidR="00C0597F" w:rsidRPr="00AF5935">
              <w:rPr>
                <w:rFonts w:ascii="Calibra" w:hAnsi="Calibra"/>
                <w:b/>
                <w:sz w:val="20"/>
                <w:szCs w:val="20"/>
              </w:rPr>
              <w:t>1</w:t>
            </w:r>
          </w:p>
          <w:p w:rsidR="00E02CE8" w:rsidRPr="00AF5935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</w:p>
          <w:p w:rsidR="00E02CE8" w:rsidRPr="00AF5935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</w:p>
          <w:p w:rsidR="00E02CE8" w:rsidRPr="00AF5935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</w:p>
          <w:p w:rsidR="00E02CE8" w:rsidRPr="00AF5935" w:rsidRDefault="00E02CE8" w:rsidP="00E02CE8">
            <w:pPr>
              <w:pStyle w:val="AralkYok"/>
              <w:ind w:left="164"/>
              <w:rPr>
                <w:rFonts w:ascii="Calibra" w:hAnsi="Calibra"/>
                <w:b/>
                <w:sz w:val="20"/>
                <w:szCs w:val="20"/>
              </w:rPr>
            </w:pPr>
            <w:r w:rsidRPr="00AF5935">
              <w:rPr>
                <w:rFonts w:ascii="Calibra" w:hAnsi="Calibra"/>
                <w:b/>
                <w:sz w:val="20"/>
                <w:szCs w:val="20"/>
              </w:rPr>
              <w:t xml:space="preserve">                                                                                                             Prof. Dr. H. Selma ÇELİKYAY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 w:rsidRPr="00AF5935">
              <w:rPr>
                <w:rFonts w:ascii="Calibra" w:hAnsi="Calibr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7C" w:rsidRDefault="00456D7C" w:rsidP="00534F7F">
      <w:r>
        <w:separator/>
      </w:r>
    </w:p>
  </w:endnote>
  <w:endnote w:type="continuationSeparator" w:id="0">
    <w:p w:rsidR="00456D7C" w:rsidRDefault="00456D7C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C8493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C8493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48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C8493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544813" w:rsidRPr="00544813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7C" w:rsidRDefault="00456D7C" w:rsidP="00534F7F">
      <w:r>
        <w:separator/>
      </w:r>
    </w:p>
  </w:footnote>
  <w:footnote w:type="continuationSeparator" w:id="0">
    <w:p w:rsidR="00456D7C" w:rsidRDefault="00456D7C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06BD"/>
    <w:rsid w:val="00010BAA"/>
    <w:rsid w:val="000124BC"/>
    <w:rsid w:val="0001594B"/>
    <w:rsid w:val="000176D6"/>
    <w:rsid w:val="00033FAA"/>
    <w:rsid w:val="00044D87"/>
    <w:rsid w:val="000508A1"/>
    <w:rsid w:val="00054BBF"/>
    <w:rsid w:val="00057079"/>
    <w:rsid w:val="00061C19"/>
    <w:rsid w:val="00067404"/>
    <w:rsid w:val="00071428"/>
    <w:rsid w:val="0009694E"/>
    <w:rsid w:val="000A326D"/>
    <w:rsid w:val="000A7531"/>
    <w:rsid w:val="000B3633"/>
    <w:rsid w:val="000B5E07"/>
    <w:rsid w:val="000C04CC"/>
    <w:rsid w:val="000C16F2"/>
    <w:rsid w:val="000D0AE3"/>
    <w:rsid w:val="000E1616"/>
    <w:rsid w:val="000F5354"/>
    <w:rsid w:val="00104233"/>
    <w:rsid w:val="00107887"/>
    <w:rsid w:val="00111183"/>
    <w:rsid w:val="00116371"/>
    <w:rsid w:val="00117888"/>
    <w:rsid w:val="0012131F"/>
    <w:rsid w:val="0012357E"/>
    <w:rsid w:val="00125F21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20EE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3766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0F7A"/>
    <w:rsid w:val="0023302F"/>
    <w:rsid w:val="00236E1E"/>
    <w:rsid w:val="00246B39"/>
    <w:rsid w:val="00250DB2"/>
    <w:rsid w:val="00251E7B"/>
    <w:rsid w:val="002628E3"/>
    <w:rsid w:val="0026786F"/>
    <w:rsid w:val="0027292B"/>
    <w:rsid w:val="00274CBA"/>
    <w:rsid w:val="002774DF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614C"/>
    <w:rsid w:val="0033736D"/>
    <w:rsid w:val="00341062"/>
    <w:rsid w:val="00341403"/>
    <w:rsid w:val="00350730"/>
    <w:rsid w:val="00352E66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E52E4"/>
    <w:rsid w:val="003F467F"/>
    <w:rsid w:val="00400B04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55847"/>
    <w:rsid w:val="00456D7C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64BA"/>
    <w:rsid w:val="004F27F3"/>
    <w:rsid w:val="004F5E73"/>
    <w:rsid w:val="00501FD3"/>
    <w:rsid w:val="00512BE7"/>
    <w:rsid w:val="00523B40"/>
    <w:rsid w:val="005332AB"/>
    <w:rsid w:val="00534F7F"/>
    <w:rsid w:val="00537423"/>
    <w:rsid w:val="0054481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215A"/>
    <w:rsid w:val="005832D1"/>
    <w:rsid w:val="00586A9C"/>
    <w:rsid w:val="00587B17"/>
    <w:rsid w:val="0059286E"/>
    <w:rsid w:val="005A54E8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51FE6"/>
    <w:rsid w:val="00660508"/>
    <w:rsid w:val="00662C3D"/>
    <w:rsid w:val="00666355"/>
    <w:rsid w:val="0067231B"/>
    <w:rsid w:val="00673434"/>
    <w:rsid w:val="00676F30"/>
    <w:rsid w:val="00682605"/>
    <w:rsid w:val="00682A32"/>
    <w:rsid w:val="00694387"/>
    <w:rsid w:val="00697492"/>
    <w:rsid w:val="006A26AA"/>
    <w:rsid w:val="006A6FAE"/>
    <w:rsid w:val="006B027B"/>
    <w:rsid w:val="006B0CFC"/>
    <w:rsid w:val="006B3A60"/>
    <w:rsid w:val="006C40E1"/>
    <w:rsid w:val="006C7D11"/>
    <w:rsid w:val="006D09EE"/>
    <w:rsid w:val="006D3B1F"/>
    <w:rsid w:val="006E2FF1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1744C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76A54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07EA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4D65"/>
    <w:rsid w:val="008853A8"/>
    <w:rsid w:val="0088576D"/>
    <w:rsid w:val="00892092"/>
    <w:rsid w:val="008A178A"/>
    <w:rsid w:val="008A6089"/>
    <w:rsid w:val="008B14AE"/>
    <w:rsid w:val="008C129E"/>
    <w:rsid w:val="008C4974"/>
    <w:rsid w:val="008C6E2F"/>
    <w:rsid w:val="008D371C"/>
    <w:rsid w:val="008D57AB"/>
    <w:rsid w:val="008E3AAE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D533D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51D9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5935"/>
    <w:rsid w:val="00AF7C3E"/>
    <w:rsid w:val="00B00131"/>
    <w:rsid w:val="00B03FB7"/>
    <w:rsid w:val="00B06BF9"/>
    <w:rsid w:val="00B06EC8"/>
    <w:rsid w:val="00B131CC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751E6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A149A"/>
    <w:rsid w:val="00BB127B"/>
    <w:rsid w:val="00BB1E65"/>
    <w:rsid w:val="00BB3754"/>
    <w:rsid w:val="00BB66F4"/>
    <w:rsid w:val="00BB7297"/>
    <w:rsid w:val="00BC19C0"/>
    <w:rsid w:val="00BC40EE"/>
    <w:rsid w:val="00BC46D0"/>
    <w:rsid w:val="00BC65A0"/>
    <w:rsid w:val="00BC7571"/>
    <w:rsid w:val="00BC7AB2"/>
    <w:rsid w:val="00BC7F23"/>
    <w:rsid w:val="00BD0AC9"/>
    <w:rsid w:val="00BD43F6"/>
    <w:rsid w:val="00BE473A"/>
    <w:rsid w:val="00BE6E49"/>
    <w:rsid w:val="00BE7DAB"/>
    <w:rsid w:val="00BF3129"/>
    <w:rsid w:val="00BF4E27"/>
    <w:rsid w:val="00BF54D2"/>
    <w:rsid w:val="00C035FB"/>
    <w:rsid w:val="00C04787"/>
    <w:rsid w:val="00C0555C"/>
    <w:rsid w:val="00C0597F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4934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03678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2815"/>
    <w:rsid w:val="00D65310"/>
    <w:rsid w:val="00D675A4"/>
    <w:rsid w:val="00D82F94"/>
    <w:rsid w:val="00D83CD5"/>
    <w:rsid w:val="00D95765"/>
    <w:rsid w:val="00D95817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0A3E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74F51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5A39"/>
    <w:rsid w:val="00F670B9"/>
    <w:rsid w:val="00F75D50"/>
    <w:rsid w:val="00F7713A"/>
    <w:rsid w:val="00F90450"/>
    <w:rsid w:val="00F931EC"/>
    <w:rsid w:val="00FA08C7"/>
    <w:rsid w:val="00FA6D95"/>
    <w:rsid w:val="00FB69AA"/>
    <w:rsid w:val="00FC06A9"/>
    <w:rsid w:val="00FC3E69"/>
    <w:rsid w:val="00FC4899"/>
    <w:rsid w:val="00FD3248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32</cp:revision>
  <cp:lastPrinted>2021-03-09T12:32:00Z</cp:lastPrinted>
  <dcterms:created xsi:type="dcterms:W3CDTF">2020-08-17T12:01:00Z</dcterms:created>
  <dcterms:modified xsi:type="dcterms:W3CDTF">2021-03-09T12:32:00Z</dcterms:modified>
</cp:coreProperties>
</file>