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5652E7" w:rsidRPr="005652E7">
        <w:rPr>
          <w:rFonts w:ascii="Cambria" w:hAnsi="Cambria"/>
        </w:rPr>
        <w:t>atıkları Çevre ve Şehircilik Bakanlığı yönetmeliklerine uygun olarak toplamak, atıkların yaratacağı kirlilik, enfeksiyon ve diğer risklerden üniversitemizi ve çevremizi korumaktır.</w:t>
      </w:r>
    </w:p>
    <w:p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</w:t>
      </w:r>
      <w:r w:rsidR="005652E7" w:rsidRPr="0087547A">
        <w:rPr>
          <w:rFonts w:ascii="Cambria" w:hAnsi="Cambria"/>
        </w:rPr>
        <w:t>Evsel atıkların mutfak ve yemekhanelerden Çevre ve Şehircilik Bakanlığı yönetmeliklerine uygun olarak toplanarak taşınması faaliyetlerini kapsar.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5652E7">
        <w:rPr>
          <w:rFonts w:ascii="Cambria" w:hAnsi="Cambria"/>
        </w:rPr>
        <w:t>yemek hizmetleri kapsamında yüklenici firma çalışanları,</w:t>
      </w:r>
      <w:r w:rsidR="004145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5652E7">
      <w:pPr>
        <w:pStyle w:val="AralkYok"/>
        <w:ind w:right="-1"/>
        <w:jc w:val="center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B454DB" w:rsidRDefault="0039031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Genel</w:t>
      </w:r>
    </w:p>
    <w:p w:rsidR="00B454DB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87547A">
        <w:rPr>
          <w:rFonts w:ascii="Cambria" w:hAnsi="Cambria"/>
        </w:rPr>
        <w:t>Evsel nitelikli atıklar toplanırken personel eldiven giyer</w:t>
      </w:r>
      <w:r>
        <w:rPr>
          <w:rFonts w:ascii="Cambria" w:hAnsi="Cambria"/>
        </w:rPr>
        <w:t>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87547A">
        <w:rPr>
          <w:rFonts w:ascii="Cambria" w:hAnsi="Cambria"/>
        </w:rPr>
        <w:t>Uygun büyüklükte siyah poşetler içerisinde toplanır.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1C71E1">
        <w:rPr>
          <w:rFonts w:ascii="Cambria" w:hAnsi="Cambria"/>
        </w:rPr>
        <w:t>vsel atık kovalarına uygun büyüklükte ve siyah renkte atık poşetleri yerleştirilir.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Çöp toplanırken poşetler birbirine transfer edilmemelidir.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Evsel nitelikli atıklar içerisinde “tıbbi atıklar” kesinlikle bulunmamalıdır.</w:t>
      </w:r>
    </w:p>
    <w:p w:rsidR="0039031B" w:rsidRPr="001C71E1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İçerisinde tıbbi atık bulunan evsel nitelikli atıklar tıbbi atık olarak değerlendirilmeli ve kırmızı renkli tıbbi atık</w:t>
      </w:r>
      <w:r>
        <w:rPr>
          <w:rFonts w:ascii="Cambria" w:hAnsi="Cambria"/>
        </w:rPr>
        <w:t xml:space="preserve"> </w:t>
      </w:r>
      <w:r w:rsidRPr="001C71E1">
        <w:rPr>
          <w:rFonts w:ascii="Cambria" w:hAnsi="Cambria"/>
        </w:rPr>
        <w:t>poşetleri içerisine konularak “tıbbi atık” olarak atılmalıdır.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Çöp toplanırken poşetlerin sızdırmadığından emin olunmalı, sızdıran poşetler sızdırmaz poşetler içerisine</w:t>
      </w:r>
      <w:r>
        <w:rPr>
          <w:rFonts w:ascii="Cambria" w:hAnsi="Cambria"/>
        </w:rPr>
        <w:t xml:space="preserve"> </w:t>
      </w:r>
      <w:r w:rsidRPr="001C71E1">
        <w:rPr>
          <w:rFonts w:ascii="Cambria" w:hAnsi="Cambria"/>
        </w:rPr>
        <w:t>yerleştirilerek evsel atık deposuna atılır.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Artan yemek atıkları Bartın Belediyesi Hayvan Barınağı’ndan gelen görevlilere tutanak altına alınarak teslim edilir.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Toplanan çöp poşetleri ağzı bağlanabilecek seviyeye kadar doldurulmalı ve ağzı kapatılmalıdır.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transferi ağzı kapalı tekerlekli çöp kovaları ile yapılmalıdır.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atıklar belirlenen saatlerde, geçici toplama alnına yapılmalıdır.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çöpleri geçici depolama alanında mevcut konteynırlara konulmalı; yerlere gelişi güzel atılmamalıdır.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Geçici depolama ünitesi kapalı tutulmalıdır.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kovaları transfer sonrası yıkanıp temizlendikten sonra mutfak içerisine alınmalıdır.</w:t>
      </w:r>
    </w:p>
    <w:p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 xml:space="preserve">Mutfak içerisinde bulunan çöp kovaları, çöp sepetleri ve çöp konteynırları gibi malzemeler </w:t>
      </w:r>
      <w:r w:rsidRPr="0039031B">
        <w:rPr>
          <w:rFonts w:ascii="Cambria" w:hAnsi="Cambria"/>
        </w:rPr>
        <w:t>“</w:t>
      </w:r>
      <w:r w:rsidRPr="0039031B">
        <w:rPr>
          <w:rFonts w:ascii="Cambria" w:hAnsi="Cambria"/>
          <w:b/>
          <w:i/>
        </w:rPr>
        <w:t>FRM-0505 Mutfak Temizlik Planı ve Kontrol Formu”</w:t>
      </w:r>
      <w:r>
        <w:rPr>
          <w:rFonts w:ascii="Cambria" w:hAnsi="Cambria"/>
        </w:rPr>
        <w:t xml:space="preserve"> belirtildiği gibi </w:t>
      </w:r>
      <w:r w:rsidRPr="00D00B76">
        <w:rPr>
          <w:rFonts w:ascii="Cambria" w:hAnsi="Cambria"/>
        </w:rPr>
        <w:t xml:space="preserve">yıkanıp </w:t>
      </w:r>
      <w:proofErr w:type="gramStart"/>
      <w:r w:rsidRPr="00D00B76">
        <w:rPr>
          <w:rFonts w:ascii="Cambria" w:hAnsi="Cambria"/>
        </w:rPr>
        <w:t>dezenfekte</w:t>
      </w:r>
      <w:proofErr w:type="gramEnd"/>
      <w:r w:rsidRPr="00D00B76">
        <w:rPr>
          <w:rFonts w:ascii="Cambria" w:hAnsi="Cambria"/>
        </w:rPr>
        <w:t xml:space="preserve"> edilmelidir.</w:t>
      </w:r>
    </w:p>
    <w:p w:rsidR="0025261E" w:rsidRPr="0025261E" w:rsidRDefault="0025261E" w:rsidP="00B62416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25261E">
        <w:rPr>
          <w:rFonts w:ascii="Cambria" w:hAnsi="Cambria"/>
        </w:rPr>
        <w:t>Atıkların sıfır atık kurallarına göre tasnif edilerek düzenli olarak depolanıp, günlük olarak geçici toplama merkezine kayıt altına alınarak</w:t>
      </w:r>
      <w:r w:rsidR="00E96991">
        <w:rPr>
          <w:rFonts w:ascii="Cambria" w:hAnsi="Cambria"/>
        </w:rPr>
        <w:t xml:space="preserve"> </w:t>
      </w:r>
      <w:r w:rsidR="00E96991" w:rsidRPr="00E96991">
        <w:rPr>
          <w:rFonts w:ascii="Cambria" w:hAnsi="Cambria"/>
          <w:b/>
          <w:i/>
        </w:rPr>
        <w:t>(</w:t>
      </w:r>
      <w:r w:rsidR="00E96991" w:rsidRPr="00E96991">
        <w:rPr>
          <w:rFonts w:ascii="Arial" w:hAnsi="Arial" w:cs="Arial"/>
          <w:b/>
          <w:i/>
          <w:sz w:val="20"/>
          <w:szCs w:val="20"/>
          <w:shd w:val="clear" w:color="auto" w:fill="FFFFFF"/>
        </w:rPr>
        <w:t>FRM-0506 Sıfır Atık Teslim Takip Çizelgesi</w:t>
      </w:r>
      <w:r w:rsidR="00E96991" w:rsidRPr="00E96991">
        <w:rPr>
          <w:b/>
          <w:i/>
        </w:rPr>
        <w:t>)</w:t>
      </w:r>
      <w:r w:rsidRPr="0025261E">
        <w:rPr>
          <w:rFonts w:ascii="Cambria" w:hAnsi="Cambria"/>
        </w:rPr>
        <w:t xml:space="preserve"> aktırılmalı ve özellikle yağların kanalizasyon giderlerine aktarılması önlenmelidir. Sürecin haftada en az </w:t>
      </w:r>
      <w:r w:rsidR="00B26732">
        <w:rPr>
          <w:rFonts w:ascii="Cambria" w:hAnsi="Cambria"/>
        </w:rPr>
        <w:t xml:space="preserve">bir defa </w:t>
      </w:r>
      <w:r w:rsidRPr="0025261E">
        <w:rPr>
          <w:rFonts w:ascii="Cambria" w:hAnsi="Cambria"/>
        </w:rPr>
        <w:t xml:space="preserve">daire başkanı, gıda mühendisi ve diyetisyen tarafından kontrol edilir ve kayıt altına alınır. </w:t>
      </w:r>
    </w:p>
    <w:p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2D41A4" w:rsidRDefault="002D41A4" w:rsidP="002D41A4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2D41A4" w:rsidRDefault="002D41A4" w:rsidP="002D41A4">
      <w:pPr>
        <w:pStyle w:val="AralkYok"/>
        <w:jc w:val="both"/>
        <w:rPr>
          <w:rFonts w:ascii="Cambria" w:hAnsi="Cambria" w:cs="Times New Roman"/>
        </w:rPr>
      </w:pPr>
    </w:p>
    <w:p w:rsidR="002D41A4" w:rsidRPr="00A33489" w:rsidRDefault="002D41A4" w:rsidP="002D41A4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  <w:color w:val="002060"/>
        </w:rPr>
      </w:pPr>
      <w:r w:rsidRPr="0039031B">
        <w:rPr>
          <w:rFonts w:ascii="Cambria" w:hAnsi="Cambria"/>
        </w:rPr>
        <w:t>FRM-0505 Mutfak Temizlik Planı ve Kontrol Formu</w:t>
      </w:r>
    </w:p>
    <w:p w:rsidR="002D41A4" w:rsidRPr="00A33489" w:rsidRDefault="002D41A4" w:rsidP="002D41A4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</w:rPr>
      </w:pPr>
      <w:r w:rsidRPr="00A33489">
        <w:rPr>
          <w:rFonts w:ascii="Cambria" w:hAnsi="Cambria"/>
        </w:rPr>
        <w:t>FRM-0506 Sıfır Atık Teslim Takip Çizelgesi</w:t>
      </w:r>
    </w:p>
    <w:p w:rsidR="002D41A4" w:rsidRDefault="002D41A4" w:rsidP="002D41A4">
      <w:pPr>
        <w:pStyle w:val="AralkYok"/>
        <w:ind w:left="1"/>
        <w:rPr>
          <w:rFonts w:ascii="Cambria" w:hAnsi="Cambria"/>
          <w:color w:val="002060"/>
        </w:rPr>
      </w:pPr>
    </w:p>
    <w:p w:rsidR="002D41A4" w:rsidRDefault="002D41A4" w:rsidP="002D41A4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2D41A4" w:rsidRDefault="002D41A4" w:rsidP="002D41A4">
      <w:pPr>
        <w:pStyle w:val="AralkYok"/>
        <w:jc w:val="both"/>
        <w:rPr>
          <w:rFonts w:ascii="Cambria" w:hAnsi="Cambria" w:cs="Times New Roman"/>
        </w:rPr>
      </w:pPr>
    </w:p>
    <w:p w:rsidR="0083393D" w:rsidRPr="00DF6D16" w:rsidRDefault="0083393D" w:rsidP="0083393D">
      <w:pPr>
        <w:pStyle w:val="AralkYok"/>
        <w:numPr>
          <w:ilvl w:val="0"/>
          <w:numId w:val="25"/>
        </w:numPr>
        <w:jc w:val="both"/>
        <w:rPr>
          <w:rFonts w:ascii="Cambria" w:hAnsi="Cambria"/>
        </w:rPr>
      </w:pPr>
      <w:r w:rsidRPr="00DF6D16">
        <w:rPr>
          <w:rFonts w:ascii="Cambria" w:hAnsi="Cambria"/>
        </w:rPr>
        <w:t>Bitkisel Atık Yağların Kontrolü Yönetmeliği</w:t>
      </w:r>
    </w:p>
    <w:p w:rsidR="0083393D" w:rsidRPr="00DF6D16" w:rsidRDefault="0083393D" w:rsidP="0083393D">
      <w:pPr>
        <w:pStyle w:val="AralkYok"/>
        <w:numPr>
          <w:ilvl w:val="0"/>
          <w:numId w:val="25"/>
        </w:numPr>
        <w:jc w:val="both"/>
        <w:rPr>
          <w:rFonts w:ascii="Cambria" w:hAnsi="Cambria"/>
        </w:rPr>
      </w:pPr>
      <w:r w:rsidRPr="00DF6D16">
        <w:rPr>
          <w:rFonts w:ascii="Cambria" w:hAnsi="Cambria"/>
        </w:rPr>
        <w:t>Çevre ve Şehircilik Bakanlığı Sıfır Atık Uygulama Rehberi</w:t>
      </w:r>
    </w:p>
    <w:p w:rsidR="002D41A4" w:rsidRPr="00454D81" w:rsidRDefault="002D41A4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260C83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F4" w:rsidRDefault="000773F4" w:rsidP="00534F7F">
      <w:pPr>
        <w:spacing w:line="240" w:lineRule="auto"/>
      </w:pPr>
      <w:r>
        <w:separator/>
      </w:r>
    </w:p>
  </w:endnote>
  <w:endnote w:type="continuationSeparator" w:id="0">
    <w:p w:rsidR="000773F4" w:rsidRDefault="000773F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92A42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192A42" w:rsidRDefault="00192A42" w:rsidP="00192A4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16B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16B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F4" w:rsidRDefault="000773F4" w:rsidP="00534F7F">
      <w:pPr>
        <w:spacing w:line="240" w:lineRule="auto"/>
      </w:pPr>
      <w:r>
        <w:separator/>
      </w:r>
    </w:p>
  </w:footnote>
  <w:footnote w:type="continuationSeparator" w:id="0">
    <w:p w:rsidR="000773F4" w:rsidRDefault="000773F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5652E7" w:rsidP="004D1393">
          <w:pPr>
            <w:pStyle w:val="AralkYok"/>
            <w:jc w:val="center"/>
            <w:rPr>
              <w:rFonts w:ascii="Cambria" w:hAnsi="Cambria"/>
              <w:b/>
            </w:rPr>
          </w:pPr>
          <w:r w:rsidRPr="005652E7">
            <w:rPr>
              <w:rFonts w:ascii="Cambria" w:hAnsi="Cambria"/>
              <w:b/>
              <w:color w:val="002060"/>
            </w:rPr>
            <w:t>EVSEL ATIKLARI TOPLAMA VE TAŞIMA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783FB3">
            <w:rPr>
              <w:rFonts w:ascii="Cambria" w:hAnsi="Cambria"/>
              <w:color w:val="002060"/>
              <w:sz w:val="16"/>
              <w:szCs w:val="16"/>
            </w:rPr>
            <w:t>09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000B59"/>
    <w:multiLevelType w:val="hybridMultilevel"/>
    <w:tmpl w:val="F1529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22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22"/>
  </w:num>
  <w:num w:numId="8">
    <w:abstractNumId w:val="21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14"/>
  </w:num>
  <w:num w:numId="15">
    <w:abstractNumId w:val="23"/>
  </w:num>
  <w:num w:numId="16">
    <w:abstractNumId w:val="18"/>
  </w:num>
  <w:num w:numId="17">
    <w:abstractNumId w:val="15"/>
  </w:num>
  <w:num w:numId="18">
    <w:abstractNumId w:val="2"/>
  </w:num>
  <w:num w:numId="19">
    <w:abstractNumId w:val="20"/>
  </w:num>
  <w:num w:numId="20">
    <w:abstractNumId w:val="17"/>
  </w:num>
  <w:num w:numId="21">
    <w:abstractNumId w:val="13"/>
  </w:num>
  <w:num w:numId="22">
    <w:abstractNumId w:val="3"/>
  </w:num>
  <w:num w:numId="23">
    <w:abstractNumId w:val="11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773F4"/>
    <w:rsid w:val="000D748C"/>
    <w:rsid w:val="000E0E09"/>
    <w:rsid w:val="000E77FE"/>
    <w:rsid w:val="001216BD"/>
    <w:rsid w:val="001263DA"/>
    <w:rsid w:val="00153D2B"/>
    <w:rsid w:val="00164950"/>
    <w:rsid w:val="0016547C"/>
    <w:rsid w:val="001842CA"/>
    <w:rsid w:val="00192A42"/>
    <w:rsid w:val="001B79B6"/>
    <w:rsid w:val="001F6791"/>
    <w:rsid w:val="00233A1A"/>
    <w:rsid w:val="00236E1E"/>
    <w:rsid w:val="00242EC2"/>
    <w:rsid w:val="0025261E"/>
    <w:rsid w:val="00260C83"/>
    <w:rsid w:val="002A43AE"/>
    <w:rsid w:val="002B7653"/>
    <w:rsid w:val="002D41A4"/>
    <w:rsid w:val="002E5EBB"/>
    <w:rsid w:val="00322D79"/>
    <w:rsid w:val="003230A8"/>
    <w:rsid w:val="00365EE5"/>
    <w:rsid w:val="0039031B"/>
    <w:rsid w:val="004023B0"/>
    <w:rsid w:val="004145A9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C5E88"/>
    <w:rsid w:val="006F3177"/>
    <w:rsid w:val="006F7248"/>
    <w:rsid w:val="00706639"/>
    <w:rsid w:val="00715C4E"/>
    <w:rsid w:val="00725024"/>
    <w:rsid w:val="0073207A"/>
    <w:rsid w:val="0073606C"/>
    <w:rsid w:val="00751238"/>
    <w:rsid w:val="0075336B"/>
    <w:rsid w:val="00783FB3"/>
    <w:rsid w:val="007D4382"/>
    <w:rsid w:val="007D62D7"/>
    <w:rsid w:val="00815050"/>
    <w:rsid w:val="0083393D"/>
    <w:rsid w:val="0085676A"/>
    <w:rsid w:val="00863D9D"/>
    <w:rsid w:val="00896680"/>
    <w:rsid w:val="008C72E4"/>
    <w:rsid w:val="0090695B"/>
    <w:rsid w:val="00943A2E"/>
    <w:rsid w:val="00957475"/>
    <w:rsid w:val="00960336"/>
    <w:rsid w:val="009F1EE5"/>
    <w:rsid w:val="00A10A87"/>
    <w:rsid w:val="00A125A4"/>
    <w:rsid w:val="00A33489"/>
    <w:rsid w:val="00A354CE"/>
    <w:rsid w:val="00A5761F"/>
    <w:rsid w:val="00A80CED"/>
    <w:rsid w:val="00AB53F9"/>
    <w:rsid w:val="00B26732"/>
    <w:rsid w:val="00B454DB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F09F7"/>
    <w:rsid w:val="00D01932"/>
    <w:rsid w:val="00D2206D"/>
    <w:rsid w:val="00D23714"/>
    <w:rsid w:val="00D51E95"/>
    <w:rsid w:val="00D67157"/>
    <w:rsid w:val="00DB6991"/>
    <w:rsid w:val="00DD51A4"/>
    <w:rsid w:val="00DF3966"/>
    <w:rsid w:val="00E113D0"/>
    <w:rsid w:val="00E36113"/>
    <w:rsid w:val="00E87FEE"/>
    <w:rsid w:val="00E96991"/>
    <w:rsid w:val="00ED400A"/>
    <w:rsid w:val="00F17ECC"/>
    <w:rsid w:val="00F25DBC"/>
    <w:rsid w:val="00F468D1"/>
    <w:rsid w:val="00FA26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76</cp:revision>
  <dcterms:created xsi:type="dcterms:W3CDTF">2019-02-15T12:25:00Z</dcterms:created>
  <dcterms:modified xsi:type="dcterms:W3CDTF">2020-09-30T05:48:00Z</dcterms:modified>
</cp:coreProperties>
</file>