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1A2818"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1A2818" w:rsidRDefault="0096786C" w:rsidP="00AC5A9B">
            <w:pPr>
              <w:pStyle w:val="AralkYok"/>
              <w:jc w:val="center"/>
              <w:rPr>
                <w:rFonts w:ascii="Cambria" w:hAnsi="Cambria"/>
                <w:b/>
                <w:bCs/>
                <w:color w:val="C00000"/>
              </w:rPr>
            </w:pPr>
            <w:r w:rsidRPr="001A2818">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1A2818" w:rsidRDefault="0096786C" w:rsidP="00AC5A9B">
            <w:pPr>
              <w:pStyle w:val="AralkYok"/>
              <w:jc w:val="center"/>
              <w:rPr>
                <w:rFonts w:ascii="Cambria" w:hAnsi="Cambria"/>
                <w:b/>
                <w:bCs/>
                <w:color w:val="C00000"/>
              </w:rPr>
            </w:pPr>
            <w:r w:rsidRPr="001A2818">
              <w:rPr>
                <w:rFonts w:ascii="Cambria" w:hAnsi="Cambria"/>
                <w:b/>
                <w:bCs/>
                <w:color w:val="C00000"/>
              </w:rPr>
              <w:t>MEVZUAT HÜKMÜ</w:t>
            </w:r>
          </w:p>
        </w:tc>
      </w:tr>
      <w:tr w:rsidR="00410221" w:rsidRPr="001A2818" w14:paraId="43DD60D2" w14:textId="77777777" w:rsidTr="00410221">
        <w:trPr>
          <w:trHeight w:val="231"/>
        </w:trPr>
        <w:tc>
          <w:tcPr>
            <w:tcW w:w="7083" w:type="dxa"/>
            <w:shd w:val="clear" w:color="auto" w:fill="FFFFFF" w:themeFill="background1"/>
          </w:tcPr>
          <w:p w14:paraId="26D926A8" w14:textId="07BAE710" w:rsidR="00410221" w:rsidRPr="001A2818" w:rsidRDefault="00410221" w:rsidP="007D6DC2">
            <w:pPr>
              <w:spacing w:after="0" w:line="305" w:lineRule="atLeast"/>
              <w:rPr>
                <w:rFonts w:ascii="Cambria" w:hAnsi="Cambria"/>
                <w:b/>
                <w:color w:val="002060"/>
              </w:rPr>
            </w:pPr>
            <w:r w:rsidRPr="001A2818">
              <w:rPr>
                <w:rFonts w:ascii="Cambria" w:hAnsi="Cambria"/>
                <w:b/>
                <w:color w:val="002060"/>
              </w:rPr>
              <w:t xml:space="preserve">2547 Sayılı Yükseköğretim Kanunu </w:t>
            </w:r>
            <w:r w:rsidR="007647A4" w:rsidRPr="001A2818">
              <w:rPr>
                <w:rFonts w:ascii="Cambria" w:hAnsi="Cambria"/>
                <w:b/>
                <w:bCs/>
                <w:color w:val="002060"/>
              </w:rPr>
              <w:t>(Madde-6</w:t>
            </w:r>
            <w:r w:rsidRPr="001A2818">
              <w:rPr>
                <w:rFonts w:ascii="Cambria" w:hAnsi="Cambria"/>
                <w:b/>
                <w:bCs/>
                <w:color w:val="002060"/>
              </w:rPr>
              <w:t>)</w:t>
            </w:r>
          </w:p>
        </w:tc>
        <w:tc>
          <w:tcPr>
            <w:tcW w:w="7513" w:type="dxa"/>
            <w:shd w:val="clear" w:color="auto" w:fill="FFFFFF" w:themeFill="background1"/>
            <w:vAlign w:val="center"/>
          </w:tcPr>
          <w:p w14:paraId="73ACB65F" w14:textId="0E484E11" w:rsidR="00834051" w:rsidRPr="001A2818" w:rsidRDefault="007647A4" w:rsidP="007647A4">
            <w:pPr>
              <w:pStyle w:val="ListeParagraf"/>
              <w:numPr>
                <w:ilvl w:val="0"/>
                <w:numId w:val="27"/>
              </w:numPr>
              <w:spacing w:after="0" w:line="305" w:lineRule="atLeast"/>
              <w:jc w:val="both"/>
              <w:rPr>
                <w:rFonts w:ascii="Cambria" w:hAnsi="Cambria"/>
              </w:rPr>
            </w:pPr>
            <w:r w:rsidRPr="001A2818">
              <w:rPr>
                <w:rFonts w:ascii="Cambria" w:hAnsi="Cambria"/>
              </w:rPr>
              <w:t xml:space="preserve">Yükseköğretim Genel Kurulunun Yürütme Kurulu dışında kalan üyelerine ödenecek toplantıya katılma ücreti (huzur hakkı), her toplantı için devlet memur aylıkları kat sayısının </w:t>
            </w:r>
            <w:r w:rsidRPr="001A2818">
              <w:rPr>
                <w:rFonts w:ascii="Cambria" w:hAnsi="Cambria"/>
                <w:b/>
                <w:color w:val="C00000"/>
              </w:rPr>
              <w:t>(4000) RAKAMI</w:t>
            </w:r>
            <w:r w:rsidRPr="001A2818">
              <w:rPr>
                <w:rFonts w:ascii="Cambria" w:hAnsi="Cambria"/>
                <w:color w:val="C00000"/>
              </w:rPr>
              <w:t xml:space="preserve"> </w:t>
            </w:r>
            <w:r w:rsidRPr="001A2818">
              <w:rPr>
                <w:rFonts w:ascii="Cambria" w:hAnsi="Cambria"/>
              </w:rPr>
              <w:t xml:space="preserve">ile çarpımı sonucunda bulunacak meblağdır. Ancak, bir yılda </w:t>
            </w:r>
            <w:proofErr w:type="spellStart"/>
            <w:r w:rsidRPr="001A2818">
              <w:rPr>
                <w:rFonts w:ascii="Cambria" w:hAnsi="Cambria"/>
              </w:rPr>
              <w:t>onikiden</w:t>
            </w:r>
            <w:proofErr w:type="spellEnd"/>
            <w:r w:rsidRPr="001A2818">
              <w:rPr>
                <w:rFonts w:ascii="Cambria" w:hAnsi="Cambria"/>
              </w:rPr>
              <w:t xml:space="preserve"> fazla toplantıya katılma ücreti (huzur hakkı) ödenemez.</w:t>
            </w:r>
          </w:p>
        </w:tc>
      </w:tr>
      <w:tr w:rsidR="00410221" w:rsidRPr="001A2818" w14:paraId="1F17B5F9" w14:textId="77777777" w:rsidTr="00410221">
        <w:trPr>
          <w:trHeight w:val="231"/>
        </w:trPr>
        <w:tc>
          <w:tcPr>
            <w:tcW w:w="7083" w:type="dxa"/>
            <w:shd w:val="clear" w:color="auto" w:fill="FFFFFF" w:themeFill="background1"/>
          </w:tcPr>
          <w:p w14:paraId="04903362" w14:textId="01E31E4A" w:rsidR="00410221" w:rsidRPr="001A2818" w:rsidRDefault="00410221" w:rsidP="007D6DC2">
            <w:pPr>
              <w:spacing w:after="0" w:line="305" w:lineRule="atLeast"/>
              <w:rPr>
                <w:rFonts w:ascii="Cambria" w:hAnsi="Cambria"/>
                <w:b/>
                <w:color w:val="002060"/>
              </w:rPr>
            </w:pPr>
            <w:r w:rsidRPr="001A2818">
              <w:rPr>
                <w:rFonts w:ascii="Cambria" w:hAnsi="Cambria"/>
                <w:b/>
                <w:color w:val="002060"/>
              </w:rPr>
              <w:t xml:space="preserve">2547 Sayılı Yükseköğretim Kanunu </w:t>
            </w:r>
            <w:r w:rsidR="007647A4" w:rsidRPr="001A2818">
              <w:rPr>
                <w:rFonts w:ascii="Cambria" w:hAnsi="Cambria"/>
                <w:b/>
                <w:bCs/>
                <w:color w:val="002060"/>
              </w:rPr>
              <w:t>(Madde-</w:t>
            </w:r>
            <w:bookmarkStart w:id="0" w:name="_GoBack"/>
            <w:bookmarkEnd w:id="0"/>
            <w:r w:rsidR="007647A4" w:rsidRPr="001A2818">
              <w:rPr>
                <w:rFonts w:ascii="Cambria" w:hAnsi="Cambria"/>
                <w:b/>
                <w:bCs/>
                <w:color w:val="002060"/>
              </w:rPr>
              <w:t>58</w:t>
            </w:r>
            <w:r w:rsidRPr="001A2818">
              <w:rPr>
                <w:rFonts w:ascii="Cambria" w:hAnsi="Cambria"/>
                <w:b/>
                <w:bCs/>
                <w:color w:val="002060"/>
              </w:rPr>
              <w:t>)</w:t>
            </w:r>
          </w:p>
        </w:tc>
        <w:tc>
          <w:tcPr>
            <w:tcW w:w="7513" w:type="dxa"/>
            <w:shd w:val="clear" w:color="auto" w:fill="FFFFFF" w:themeFill="background1"/>
            <w:vAlign w:val="center"/>
          </w:tcPr>
          <w:p w14:paraId="2B0FFADD" w14:textId="57A57005" w:rsidR="00834051" w:rsidRPr="001A2818" w:rsidRDefault="007647A4" w:rsidP="007647A4">
            <w:pPr>
              <w:pStyle w:val="ListeParagraf"/>
              <w:numPr>
                <w:ilvl w:val="0"/>
                <w:numId w:val="18"/>
              </w:numPr>
              <w:spacing w:after="0" w:line="305" w:lineRule="atLeast"/>
              <w:jc w:val="both"/>
              <w:rPr>
                <w:rFonts w:ascii="Cambria" w:hAnsi="Cambria"/>
              </w:rPr>
            </w:pPr>
            <w:r w:rsidRPr="001A2818">
              <w:rPr>
                <w:rFonts w:ascii="Cambria" w:hAnsi="Cambria"/>
              </w:rPr>
              <w:t xml:space="preserve">Bilimsel araştırma projelerinin seçilmesi, uygulanması ve izlenmesi, ulusal veya uluslararası kuruluşlar tarafından desteklenen projelere, toplam proje bedelinin yüzde </w:t>
            </w:r>
            <w:r w:rsidRPr="001A2818">
              <w:rPr>
                <w:rFonts w:ascii="Cambria" w:hAnsi="Cambria"/>
              </w:rPr>
              <w:t>otuzunu</w:t>
            </w:r>
            <w:r w:rsidRPr="001A2818">
              <w:rPr>
                <w:rFonts w:ascii="Cambria" w:hAnsi="Cambria"/>
              </w:rPr>
              <w:t xml:space="preserve"> aşmamak kaydıyla kaynak aktarımı, proje değerlendirmesini yapacak uzmanlara </w:t>
            </w:r>
            <w:r w:rsidRPr="001A2818">
              <w:rPr>
                <w:rFonts w:ascii="Cambria" w:hAnsi="Cambria"/>
                <w:b/>
                <w:color w:val="C00000"/>
              </w:rPr>
              <w:t>10.000 GÖSTERGE RAKAMININ</w:t>
            </w:r>
            <w:r w:rsidRPr="001A2818">
              <w:rPr>
                <w:rFonts w:ascii="Cambria" w:hAnsi="Cambria"/>
                <w:color w:val="C00000"/>
              </w:rPr>
              <w:t xml:space="preserve"> </w:t>
            </w:r>
            <w:r w:rsidRPr="001A2818">
              <w:rPr>
                <w:rFonts w:ascii="Cambria" w:hAnsi="Cambria"/>
              </w:rPr>
              <w:t xml:space="preserve">memur aylık katsayısı ile çarpımı sonucu bulunacak tutarı geçmemek üzere ödenecek ücretin belirlenmesi ile ödeneklerin kullandırılması, genel hükümlerin ön ödemelere ilişkin sınırlamalarına bağlı kalınmaksızın avans verilmesi ve bu avansın mahsubuna dair usul ve esaslar Hazine ve Maliye Bakanlığı ile Strateji ve Bütçe Başkanlığının uygun görüşü alınarak </w:t>
            </w:r>
            <w:r w:rsidRPr="001A2818">
              <w:rPr>
                <w:rFonts w:ascii="Cambria" w:hAnsi="Cambria"/>
              </w:rPr>
              <w:t xml:space="preserve">Yükseköğretim Kurulu </w:t>
            </w:r>
            <w:r w:rsidRPr="001A2818">
              <w:rPr>
                <w:rFonts w:ascii="Cambria" w:hAnsi="Cambria"/>
              </w:rPr>
              <w:t>tarafından çıkarılacak yönetmelikle belirlenir.</w:t>
            </w:r>
          </w:p>
        </w:tc>
      </w:tr>
      <w:tr w:rsidR="00410221" w:rsidRPr="001A2818" w14:paraId="42B38EE6" w14:textId="77777777" w:rsidTr="00410221">
        <w:trPr>
          <w:trHeight w:val="231"/>
        </w:trPr>
        <w:tc>
          <w:tcPr>
            <w:tcW w:w="7083" w:type="dxa"/>
            <w:shd w:val="clear" w:color="auto" w:fill="FFFFFF" w:themeFill="background1"/>
          </w:tcPr>
          <w:p w14:paraId="6453103D" w14:textId="68E68AAF" w:rsidR="00410221" w:rsidRPr="001A2818" w:rsidRDefault="007D33B0" w:rsidP="007D6DC2">
            <w:pPr>
              <w:spacing w:after="0" w:line="305" w:lineRule="atLeast"/>
              <w:rPr>
                <w:rFonts w:ascii="Cambria" w:hAnsi="Cambria"/>
                <w:b/>
                <w:color w:val="002060"/>
              </w:rPr>
            </w:pPr>
            <w:r w:rsidRPr="001A2818">
              <w:rPr>
                <w:rFonts w:ascii="Cambria" w:hAnsi="Cambria"/>
                <w:b/>
                <w:color w:val="002060"/>
              </w:rPr>
              <w:t xml:space="preserve">2547 Sayılı Yükseköğretim Kanunu </w:t>
            </w:r>
            <w:r w:rsidRPr="001A2818">
              <w:rPr>
                <w:rFonts w:ascii="Cambria" w:hAnsi="Cambria"/>
                <w:b/>
                <w:bCs/>
                <w:color w:val="002060"/>
              </w:rPr>
              <w:t>(Ek Madde-29</w:t>
            </w:r>
            <w:r w:rsidRPr="001A2818">
              <w:rPr>
                <w:rFonts w:ascii="Cambria" w:hAnsi="Cambria"/>
                <w:b/>
                <w:bCs/>
                <w:color w:val="002060"/>
              </w:rPr>
              <w:t>)</w:t>
            </w:r>
          </w:p>
        </w:tc>
        <w:tc>
          <w:tcPr>
            <w:tcW w:w="7513" w:type="dxa"/>
            <w:shd w:val="clear" w:color="auto" w:fill="FFFFFF" w:themeFill="background1"/>
            <w:vAlign w:val="center"/>
          </w:tcPr>
          <w:p w14:paraId="61A2EEE4" w14:textId="1F752EC6" w:rsidR="00834051" w:rsidRPr="001A2818" w:rsidRDefault="007647A4" w:rsidP="007D33B0">
            <w:pPr>
              <w:pStyle w:val="ListeParagraf"/>
              <w:numPr>
                <w:ilvl w:val="0"/>
                <w:numId w:val="27"/>
              </w:numPr>
              <w:spacing w:after="0" w:line="305" w:lineRule="atLeast"/>
              <w:jc w:val="both"/>
              <w:rPr>
                <w:rFonts w:ascii="Cambria" w:hAnsi="Cambria"/>
              </w:rPr>
            </w:pPr>
            <w:r w:rsidRPr="001A2818">
              <w:rPr>
                <w:rFonts w:ascii="Cambria" w:hAnsi="Cambria"/>
              </w:rPr>
              <w:t xml:space="preserve">Üniversitelerin tıp fakültelerinin beşinci yılını tamamlayıp altıncı yılına geçen öğrencileri ile diş hekimliği fakültelerinin dördüncü yılını tamamlayıp beşinci yılına geçen öğrencilerine intörn eğitimi döneminde öğretim üyesi rehberliğinde yaptıkları uygulama çalışmaları karşılığında ilgili kurumların bütçesinden </w:t>
            </w:r>
            <w:r w:rsidRPr="001A2818">
              <w:rPr>
                <w:rFonts w:ascii="Cambria" w:hAnsi="Cambria"/>
              </w:rPr>
              <w:t xml:space="preserve">oniki </w:t>
            </w:r>
            <w:r w:rsidRPr="001A2818">
              <w:rPr>
                <w:rFonts w:ascii="Cambria" w:hAnsi="Cambria"/>
              </w:rPr>
              <w:t xml:space="preserve">ayı geçmemek üzere; Devlet üniversitelerinde ödemenin yapıldığı tarihteki </w:t>
            </w:r>
            <w:r w:rsidRPr="001A2818">
              <w:rPr>
                <w:rFonts w:ascii="Cambria" w:hAnsi="Cambria"/>
              </w:rPr>
              <w:t>net asgari ücret tutarında,</w:t>
            </w:r>
            <w:r w:rsidRPr="001A2818">
              <w:rPr>
                <w:rFonts w:ascii="Cambria" w:hAnsi="Cambria"/>
              </w:rPr>
              <w:t xml:space="preserve"> vakıf üniversitelerinde ise </w:t>
            </w:r>
            <w:r w:rsidR="007D33B0" w:rsidRPr="001A2818">
              <w:rPr>
                <w:rFonts w:ascii="Cambria" w:hAnsi="Cambria"/>
                <w:b/>
                <w:color w:val="C00000"/>
              </w:rPr>
              <w:t>4.702 GÖSTERGE RAKAMININ</w:t>
            </w:r>
            <w:r w:rsidR="007D33B0" w:rsidRPr="001A2818">
              <w:rPr>
                <w:rFonts w:ascii="Cambria" w:hAnsi="Cambria"/>
                <w:color w:val="C00000"/>
              </w:rPr>
              <w:t xml:space="preserve"> </w:t>
            </w:r>
            <w:r w:rsidRPr="001A2818">
              <w:rPr>
                <w:rFonts w:ascii="Cambria" w:hAnsi="Cambria"/>
              </w:rPr>
              <w:t>memur aylık katsayısı ile çarpımı sonucu bulunacak tutarda aylık ücret ödenir</w:t>
            </w:r>
            <w:r w:rsidR="007D33B0" w:rsidRPr="001A2818">
              <w:rPr>
                <w:rFonts w:ascii="Cambria" w:hAnsi="Cambria"/>
              </w:rPr>
              <w:t>.</w:t>
            </w:r>
          </w:p>
        </w:tc>
      </w:tr>
      <w:tr w:rsidR="00855045" w:rsidRPr="001A2818" w14:paraId="4CAF70C2" w14:textId="77777777" w:rsidTr="00410221">
        <w:trPr>
          <w:trHeight w:val="231"/>
        </w:trPr>
        <w:tc>
          <w:tcPr>
            <w:tcW w:w="7083" w:type="dxa"/>
            <w:shd w:val="clear" w:color="auto" w:fill="FFFFFF" w:themeFill="background1"/>
          </w:tcPr>
          <w:p w14:paraId="77376CC1" w14:textId="2539AE4B" w:rsidR="00855045" w:rsidRPr="001A2818" w:rsidRDefault="00855045" w:rsidP="007D6DC2">
            <w:pPr>
              <w:spacing w:after="0" w:line="305" w:lineRule="atLeast"/>
              <w:rPr>
                <w:rFonts w:ascii="Cambria" w:hAnsi="Cambria"/>
                <w:b/>
                <w:color w:val="002060"/>
              </w:rPr>
            </w:pPr>
            <w:r w:rsidRPr="001A2818">
              <w:rPr>
                <w:rFonts w:ascii="Cambria" w:hAnsi="Cambria"/>
                <w:b/>
                <w:color w:val="002060"/>
              </w:rPr>
              <w:t xml:space="preserve">2547 Sayılı Yükseköğretim Kanunu </w:t>
            </w:r>
            <w:r w:rsidR="007D33B0" w:rsidRPr="001A2818">
              <w:rPr>
                <w:rFonts w:ascii="Cambria" w:hAnsi="Cambria"/>
                <w:b/>
                <w:bCs/>
                <w:color w:val="002060"/>
              </w:rPr>
              <w:t>(Ek M</w:t>
            </w:r>
            <w:r w:rsidR="007D33B0" w:rsidRPr="001A2818">
              <w:rPr>
                <w:rFonts w:ascii="Cambria" w:hAnsi="Cambria"/>
                <w:b/>
                <w:bCs/>
                <w:color w:val="002060"/>
              </w:rPr>
              <w:t>adde-34</w:t>
            </w:r>
            <w:r w:rsidR="007D33B0" w:rsidRPr="001A2818">
              <w:rPr>
                <w:rFonts w:ascii="Cambria" w:hAnsi="Cambria"/>
                <w:b/>
                <w:bCs/>
                <w:color w:val="002060"/>
              </w:rPr>
              <w:t>)</w:t>
            </w:r>
          </w:p>
        </w:tc>
        <w:tc>
          <w:tcPr>
            <w:tcW w:w="7513" w:type="dxa"/>
            <w:shd w:val="clear" w:color="auto" w:fill="FFFFFF" w:themeFill="background1"/>
            <w:vAlign w:val="center"/>
          </w:tcPr>
          <w:p w14:paraId="24542F83" w14:textId="721F6AC9" w:rsidR="00834051" w:rsidRPr="001A2818" w:rsidRDefault="007D33B0" w:rsidP="007D33B0">
            <w:pPr>
              <w:pStyle w:val="ListeParagraf"/>
              <w:numPr>
                <w:ilvl w:val="0"/>
                <w:numId w:val="27"/>
              </w:numPr>
              <w:spacing w:after="0" w:line="305" w:lineRule="atLeast"/>
              <w:jc w:val="both"/>
              <w:rPr>
                <w:rFonts w:ascii="Cambria" w:hAnsi="Cambria"/>
              </w:rPr>
            </w:pPr>
            <w:r w:rsidRPr="001A2818">
              <w:rPr>
                <w:rFonts w:ascii="Cambria" w:hAnsi="Cambria"/>
              </w:rPr>
              <w:t xml:space="preserve">Doktora Sonrası Sözleşmeli Araştırmacıların </w:t>
            </w:r>
            <w:r w:rsidRPr="001A2818">
              <w:rPr>
                <w:rFonts w:ascii="Cambria" w:hAnsi="Cambria"/>
              </w:rPr>
              <w:t xml:space="preserve">yükseköğretim kurumları itibarıyla dağılımı, sözleşme örneği, sözleşme süresinin uzatılması ve </w:t>
            </w:r>
            <w:r w:rsidRPr="001A2818">
              <w:rPr>
                <w:rFonts w:ascii="Cambria" w:hAnsi="Cambria"/>
              </w:rPr>
              <w:lastRenderedPageBreak/>
              <w:t xml:space="preserve">sona erdirilmesine ilişkin hususlar ile </w:t>
            </w:r>
            <w:r w:rsidRPr="001A2818">
              <w:rPr>
                <w:rFonts w:ascii="Cambria" w:hAnsi="Cambria"/>
                <w:b/>
                <w:color w:val="C00000"/>
              </w:rPr>
              <w:t>60.000 GÖSTERGE RAKAMININ</w:t>
            </w:r>
            <w:r w:rsidRPr="001A2818">
              <w:rPr>
                <w:rFonts w:ascii="Cambria" w:hAnsi="Cambria"/>
                <w:color w:val="C00000"/>
              </w:rPr>
              <w:t xml:space="preserve"> </w:t>
            </w:r>
            <w:r w:rsidRPr="001A2818">
              <w:rPr>
                <w:rFonts w:ascii="Cambria" w:hAnsi="Cambria"/>
              </w:rPr>
              <w:t>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tc>
      </w:tr>
      <w:tr w:rsidR="00855045" w:rsidRPr="001A2818" w14:paraId="47546E7B" w14:textId="77777777" w:rsidTr="0034675C">
        <w:trPr>
          <w:trHeight w:val="1334"/>
        </w:trPr>
        <w:tc>
          <w:tcPr>
            <w:tcW w:w="7083" w:type="dxa"/>
            <w:shd w:val="clear" w:color="auto" w:fill="FFFFFF" w:themeFill="background1"/>
          </w:tcPr>
          <w:p w14:paraId="08637907" w14:textId="537E11C0" w:rsidR="00855045" w:rsidRPr="001A2818" w:rsidRDefault="00855045" w:rsidP="007D6DC2">
            <w:pPr>
              <w:spacing w:after="0" w:line="305" w:lineRule="atLeast"/>
              <w:rPr>
                <w:rFonts w:ascii="Cambria" w:hAnsi="Cambria"/>
                <w:b/>
                <w:color w:val="002060"/>
              </w:rPr>
            </w:pPr>
            <w:r w:rsidRPr="001A2818">
              <w:rPr>
                <w:rFonts w:ascii="Cambria" w:hAnsi="Cambria"/>
                <w:b/>
                <w:color w:val="002060"/>
              </w:rPr>
              <w:lastRenderedPageBreak/>
              <w:t>2547 Sayılı Yükseköğretim</w:t>
            </w:r>
            <w:r w:rsidR="007D33B0" w:rsidRPr="001A2818">
              <w:rPr>
                <w:rFonts w:ascii="Cambria" w:hAnsi="Cambria"/>
                <w:b/>
                <w:color w:val="002060"/>
              </w:rPr>
              <w:t xml:space="preserve"> Kanunu </w:t>
            </w:r>
            <w:r w:rsidRPr="001A2818">
              <w:rPr>
                <w:rFonts w:ascii="Cambria" w:hAnsi="Cambria"/>
                <w:b/>
                <w:color w:val="002060"/>
              </w:rPr>
              <w:t xml:space="preserve"> </w:t>
            </w:r>
            <w:r w:rsidR="007D33B0" w:rsidRPr="001A2818">
              <w:rPr>
                <w:rFonts w:ascii="Cambria" w:hAnsi="Cambria"/>
                <w:b/>
                <w:bCs/>
                <w:color w:val="002060"/>
              </w:rPr>
              <w:t>(Ek M</w:t>
            </w:r>
            <w:r w:rsidR="007D33B0" w:rsidRPr="001A2818">
              <w:rPr>
                <w:rFonts w:ascii="Cambria" w:hAnsi="Cambria"/>
                <w:b/>
                <w:bCs/>
                <w:color w:val="002060"/>
              </w:rPr>
              <w:t>adde-46</w:t>
            </w:r>
            <w:r w:rsidR="007D33B0" w:rsidRPr="001A2818">
              <w:rPr>
                <w:rFonts w:ascii="Cambria" w:hAnsi="Cambria"/>
                <w:b/>
                <w:bCs/>
                <w:color w:val="002060"/>
              </w:rPr>
              <w:t>)</w:t>
            </w:r>
          </w:p>
        </w:tc>
        <w:tc>
          <w:tcPr>
            <w:tcW w:w="7513" w:type="dxa"/>
            <w:shd w:val="clear" w:color="auto" w:fill="FFFFFF" w:themeFill="background1"/>
            <w:vAlign w:val="center"/>
          </w:tcPr>
          <w:p w14:paraId="6B26B757" w14:textId="6BFA306C" w:rsidR="00855045" w:rsidRPr="001A2818" w:rsidRDefault="007D33B0" w:rsidP="007D33B0">
            <w:pPr>
              <w:pStyle w:val="ListeParagraf"/>
              <w:numPr>
                <w:ilvl w:val="0"/>
                <w:numId w:val="27"/>
              </w:numPr>
              <w:spacing w:after="0" w:line="305" w:lineRule="atLeast"/>
              <w:jc w:val="both"/>
              <w:rPr>
                <w:rFonts w:ascii="Cambria" w:hAnsi="Cambria"/>
              </w:rPr>
            </w:pPr>
            <w:r w:rsidRPr="001A2818">
              <w:rPr>
                <w:rFonts w:ascii="Cambria" w:hAnsi="Cambria"/>
              </w:rPr>
              <w:t xml:space="preserve">Uluslararası tanınırlığı olan yabancı yükseköğretim kurumlarında veya Ar-Ge merkezlerinde, kamu kurum ve kuruluşları ile bağlı veya ilgili birimlerin araştırma merkez ve enstitülerinde ya da teknoloji geliştirme bölgelerinde, araştırma altyapılarında, özel sektör Ar-Ge merkezleri yahut laboratuvarlarında fiilen çalışan doktora derecesine sahip Türk veya yabancı uyruklu nitelikli araştırmacılar; kendi talepleri, ilgili kurumların karşılıklı mutabakatı ve Yükseköğretim Kurulunun onayı ile giderleri özel bütçeden karşılanmak üzere yükseköğretim kurumlarında süresi bir yılı geçmemek üzere kısmi zamanlı görevlendirilebilirler. Bu madde kapsamında görevlendirilenlere, </w:t>
            </w:r>
            <w:r w:rsidRPr="001A2818">
              <w:rPr>
                <w:rFonts w:ascii="Cambria" w:hAnsi="Cambria"/>
                <w:b/>
                <w:color w:val="C00000"/>
              </w:rPr>
              <w:t>40.000 GÖSTERGE RAKAMININ</w:t>
            </w:r>
            <w:r w:rsidRPr="001A2818">
              <w:rPr>
                <w:rFonts w:ascii="Cambria" w:hAnsi="Cambria"/>
                <w:color w:val="C00000"/>
              </w:rPr>
              <w:t xml:space="preserve"> </w:t>
            </w:r>
            <w:r w:rsidRPr="001A2818">
              <w:rPr>
                <w:rFonts w:ascii="Cambria" w:hAnsi="Cambria"/>
              </w:rPr>
              <w:t xml:space="preserve">memur aylık katsayısı ile çarpımı sonucu bulunacak tutarı geçmemek üzere Hazine ve Maliye Bakanlığının görüşü üzerine </w:t>
            </w:r>
            <w:r w:rsidRPr="001A2818">
              <w:rPr>
                <w:rFonts w:ascii="Cambria" w:hAnsi="Cambria"/>
              </w:rPr>
              <w:t>Yükseköğretim Kurulu</w:t>
            </w:r>
            <w:r w:rsidRPr="001A2818">
              <w:rPr>
                <w:rFonts w:ascii="Cambria" w:hAnsi="Cambria"/>
              </w:rPr>
              <w:t xml:space="preserve"> tarafından belirlenen tutar ve ödeme esaslarına göre aylık ücret ödenir. Kamu kurum ve kuruluşları personelinden bu kapsamda görevlendirileceklerin aylık, ödenek, her türlü tazminatları ile diğer sosyal hak ve yardımları kendi kurum ve kuruluşlarınca ödenir</w:t>
            </w:r>
          </w:p>
        </w:tc>
      </w:tr>
      <w:tr w:rsidR="00855045" w:rsidRPr="001A2818" w14:paraId="21CC6AD6" w14:textId="77777777" w:rsidTr="00410221">
        <w:trPr>
          <w:trHeight w:val="231"/>
        </w:trPr>
        <w:tc>
          <w:tcPr>
            <w:tcW w:w="7083" w:type="dxa"/>
            <w:shd w:val="clear" w:color="auto" w:fill="FFFFFF" w:themeFill="background1"/>
          </w:tcPr>
          <w:p w14:paraId="79430FC2" w14:textId="538784CC" w:rsidR="00855045" w:rsidRPr="001A2818" w:rsidRDefault="007D33B0" w:rsidP="007D6DC2">
            <w:pPr>
              <w:spacing w:after="0" w:line="305" w:lineRule="atLeast"/>
              <w:rPr>
                <w:rFonts w:ascii="Cambria" w:hAnsi="Cambria"/>
                <w:b/>
                <w:color w:val="002060"/>
              </w:rPr>
            </w:pPr>
            <w:r w:rsidRPr="001A2818">
              <w:rPr>
                <w:rFonts w:ascii="Cambria" w:hAnsi="Cambria"/>
                <w:b/>
                <w:color w:val="002060"/>
              </w:rPr>
              <w:lastRenderedPageBreak/>
              <w:t>2914</w:t>
            </w:r>
            <w:r w:rsidR="00855045" w:rsidRPr="001A2818">
              <w:rPr>
                <w:rFonts w:ascii="Cambria" w:hAnsi="Cambria"/>
                <w:b/>
                <w:color w:val="002060"/>
              </w:rPr>
              <w:t xml:space="preserve"> Sayılı Yükseköğretim </w:t>
            </w:r>
            <w:r w:rsidRPr="001A2818">
              <w:rPr>
                <w:rFonts w:ascii="Cambria" w:hAnsi="Cambria"/>
                <w:b/>
                <w:color w:val="002060"/>
              </w:rPr>
              <w:t xml:space="preserve">Personel </w:t>
            </w:r>
            <w:r w:rsidR="00855045" w:rsidRPr="001A2818">
              <w:rPr>
                <w:rFonts w:ascii="Cambria" w:hAnsi="Cambria"/>
                <w:b/>
                <w:color w:val="002060"/>
              </w:rPr>
              <w:t xml:space="preserve">Kanunu </w:t>
            </w:r>
            <w:r w:rsidRPr="001A2818">
              <w:rPr>
                <w:rFonts w:ascii="Cambria" w:hAnsi="Cambria"/>
                <w:b/>
                <w:bCs/>
                <w:color w:val="002060"/>
              </w:rPr>
              <w:t>(Madde-11</w:t>
            </w:r>
            <w:r w:rsidR="00855045" w:rsidRPr="001A2818">
              <w:rPr>
                <w:rFonts w:ascii="Cambria" w:hAnsi="Cambria"/>
                <w:b/>
                <w:bCs/>
                <w:color w:val="002060"/>
              </w:rPr>
              <w:t>)</w:t>
            </w:r>
          </w:p>
        </w:tc>
        <w:tc>
          <w:tcPr>
            <w:tcW w:w="7513" w:type="dxa"/>
            <w:shd w:val="clear" w:color="auto" w:fill="FFFFFF" w:themeFill="background1"/>
            <w:vAlign w:val="center"/>
          </w:tcPr>
          <w:p w14:paraId="1CC08C20" w14:textId="3275C66F" w:rsidR="00834051" w:rsidRPr="001A2818" w:rsidRDefault="007D33B0" w:rsidP="007D33B0">
            <w:pPr>
              <w:pStyle w:val="ListeParagraf"/>
              <w:numPr>
                <w:ilvl w:val="0"/>
                <w:numId w:val="27"/>
              </w:numPr>
              <w:spacing w:after="0" w:line="305" w:lineRule="atLeast"/>
              <w:jc w:val="both"/>
              <w:rPr>
                <w:rFonts w:ascii="Cambria" w:hAnsi="Cambria"/>
              </w:rPr>
            </w:pPr>
            <w:r w:rsidRPr="001A2818">
              <w:rPr>
                <w:rFonts w:ascii="Cambria" w:hAnsi="Cambria"/>
                <w:noProof/>
                <w:lang w:eastAsia="tr-TR"/>
              </w:rPr>
              <w:drawing>
                <wp:inline distT="0" distB="0" distL="0" distR="0" wp14:anchorId="6B4A5867" wp14:editId="696076C8">
                  <wp:extent cx="3400900" cy="1314633"/>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8">
                            <a:extLst>
                              <a:ext uri="{28A0092B-C50C-407E-A947-70E740481C1C}">
                                <a14:useLocalDpi xmlns:a14="http://schemas.microsoft.com/office/drawing/2010/main" val="0"/>
                              </a:ext>
                            </a:extLst>
                          </a:blip>
                          <a:stretch>
                            <a:fillRect/>
                          </a:stretch>
                        </pic:blipFill>
                        <pic:spPr>
                          <a:xfrm>
                            <a:off x="0" y="0"/>
                            <a:ext cx="3400900" cy="1314633"/>
                          </a:xfrm>
                          <a:prstGeom prst="rect">
                            <a:avLst/>
                          </a:prstGeom>
                        </pic:spPr>
                      </pic:pic>
                    </a:graphicData>
                  </a:graphic>
                </wp:inline>
              </w:drawing>
            </w:r>
          </w:p>
        </w:tc>
      </w:tr>
      <w:tr w:rsidR="008F651E" w:rsidRPr="001A2818" w14:paraId="5A2A9327" w14:textId="77777777" w:rsidTr="00410221">
        <w:trPr>
          <w:trHeight w:val="231"/>
        </w:trPr>
        <w:tc>
          <w:tcPr>
            <w:tcW w:w="7083" w:type="dxa"/>
            <w:shd w:val="clear" w:color="auto" w:fill="FFFFFF" w:themeFill="background1"/>
          </w:tcPr>
          <w:p w14:paraId="31246796" w14:textId="77777777" w:rsidR="008F651E" w:rsidRPr="001A2818" w:rsidRDefault="008F651E" w:rsidP="007D6DC2">
            <w:pPr>
              <w:spacing w:after="0" w:line="305" w:lineRule="atLeast"/>
              <w:rPr>
                <w:rFonts w:ascii="Cambria" w:hAnsi="Cambria"/>
                <w:b/>
                <w:color w:val="002060"/>
              </w:rPr>
            </w:pPr>
          </w:p>
          <w:p w14:paraId="5CA6A81A" w14:textId="77777777" w:rsidR="008F651E" w:rsidRPr="001A2818" w:rsidRDefault="008F651E" w:rsidP="007D6DC2">
            <w:pPr>
              <w:spacing w:after="0" w:line="305" w:lineRule="atLeast"/>
              <w:rPr>
                <w:rFonts w:ascii="Cambria" w:hAnsi="Cambria"/>
                <w:b/>
                <w:color w:val="002060"/>
              </w:rPr>
            </w:pPr>
          </w:p>
          <w:p w14:paraId="457C0D34" w14:textId="6E39D835" w:rsidR="008F651E" w:rsidRPr="001A2818" w:rsidRDefault="008F651E" w:rsidP="007D6DC2">
            <w:pPr>
              <w:spacing w:after="0" w:line="305" w:lineRule="atLeast"/>
              <w:rPr>
                <w:rFonts w:ascii="Cambria" w:hAnsi="Cambria"/>
                <w:b/>
                <w:color w:val="002060"/>
              </w:rPr>
            </w:pPr>
            <w:r w:rsidRPr="001A2818">
              <w:rPr>
                <w:rFonts w:ascii="Cambria" w:hAnsi="Cambria"/>
                <w:b/>
                <w:color w:val="002060"/>
              </w:rPr>
              <w:t xml:space="preserve">657 Sayılı </w:t>
            </w:r>
            <w:r w:rsidR="007D33B0" w:rsidRPr="001A2818">
              <w:rPr>
                <w:rFonts w:ascii="Cambria" w:hAnsi="Cambria"/>
                <w:b/>
                <w:color w:val="002060"/>
              </w:rPr>
              <w:t>Devlet Memurları Kanunu (Madde-202</w:t>
            </w:r>
            <w:r w:rsidRPr="001A2818">
              <w:rPr>
                <w:rFonts w:ascii="Cambria" w:hAnsi="Cambria"/>
                <w:b/>
                <w:color w:val="002060"/>
              </w:rPr>
              <w:t>)</w:t>
            </w:r>
          </w:p>
        </w:tc>
        <w:tc>
          <w:tcPr>
            <w:tcW w:w="7513" w:type="dxa"/>
            <w:shd w:val="clear" w:color="auto" w:fill="FFFFFF" w:themeFill="background1"/>
            <w:vAlign w:val="center"/>
          </w:tcPr>
          <w:p w14:paraId="43136586" w14:textId="31B9F7EB" w:rsidR="008F651E" w:rsidRPr="001A2818" w:rsidRDefault="007D33B0" w:rsidP="008F651E">
            <w:pPr>
              <w:pStyle w:val="ListeParagraf"/>
              <w:numPr>
                <w:ilvl w:val="0"/>
                <w:numId w:val="18"/>
              </w:numPr>
              <w:spacing w:after="0" w:line="305" w:lineRule="atLeast"/>
              <w:jc w:val="both"/>
              <w:rPr>
                <w:rFonts w:ascii="Cambria" w:hAnsi="Cambria"/>
              </w:rPr>
            </w:pPr>
            <w:r w:rsidRPr="001A2818">
              <w:rPr>
                <w:rFonts w:ascii="Cambria" w:hAnsi="Cambria"/>
              </w:rPr>
              <w:t xml:space="preserve">Evli bulunan Devlet memurlarına aile yardımı ödeneği verilir. Bu yardım, memurun her ne şekilde olursa olsun menfaat karşılığı çalışmayan veya herhangi bir sosyal güvenlik kuruluşundan aylık almayan eşi için </w:t>
            </w:r>
            <w:r w:rsidRPr="001A2818">
              <w:rPr>
                <w:rFonts w:ascii="Cambria" w:hAnsi="Cambria"/>
                <w:b/>
                <w:color w:val="C00000"/>
              </w:rPr>
              <w:t>1500</w:t>
            </w:r>
            <w:r w:rsidRPr="001A2818">
              <w:rPr>
                <w:rFonts w:ascii="Cambria" w:hAnsi="Cambria"/>
              </w:rPr>
              <w:t xml:space="preserve">, çocuklarından her biri için de </w:t>
            </w:r>
            <w:r w:rsidR="001A2818" w:rsidRPr="001A2818">
              <w:rPr>
                <w:rFonts w:ascii="Cambria" w:hAnsi="Cambria"/>
                <w:b/>
                <w:color w:val="C00000"/>
              </w:rPr>
              <w:t>250 GÖSTERGE RAKAMININ</w:t>
            </w:r>
            <w:r w:rsidRPr="001A2818">
              <w:rPr>
                <w:rFonts w:ascii="Cambria" w:hAnsi="Cambria"/>
              </w:rPr>
              <w:t xml:space="preserve"> (72 nci ay </w:t>
            </w:r>
            <w:proofErr w:type="gramStart"/>
            <w:r w:rsidRPr="001A2818">
              <w:rPr>
                <w:rFonts w:ascii="Cambria" w:hAnsi="Cambria"/>
              </w:rPr>
              <w:t>dahil</w:t>
            </w:r>
            <w:proofErr w:type="gramEnd"/>
            <w:r w:rsidRPr="001A2818">
              <w:rPr>
                <w:rFonts w:ascii="Cambria" w:hAnsi="Cambria"/>
              </w:rPr>
              <w:t xml:space="preserve"> olmak üzere 0-6 yaş grubunda yer alan çocuklar için bir kat artırımlı) aylık katsayısı ile çarpılması sonucu elde edilecek miktar üzerinden ödenir</w:t>
            </w:r>
            <w:r w:rsidR="001A2818" w:rsidRPr="001A2818">
              <w:rPr>
                <w:rFonts w:ascii="Cambria" w:hAnsi="Cambria"/>
              </w:rPr>
              <w:t>.</w:t>
            </w:r>
          </w:p>
        </w:tc>
      </w:tr>
      <w:tr w:rsidR="008F651E" w:rsidRPr="001A2818" w14:paraId="77D4C8CA" w14:textId="77777777" w:rsidTr="00410221">
        <w:trPr>
          <w:trHeight w:val="231"/>
        </w:trPr>
        <w:tc>
          <w:tcPr>
            <w:tcW w:w="7083" w:type="dxa"/>
            <w:shd w:val="clear" w:color="auto" w:fill="FFFFFF" w:themeFill="background1"/>
          </w:tcPr>
          <w:p w14:paraId="44E0F361" w14:textId="2CD80863" w:rsidR="008F651E" w:rsidRPr="001A2818" w:rsidRDefault="001A2818" w:rsidP="007D6DC2">
            <w:pPr>
              <w:spacing w:after="0" w:line="305" w:lineRule="atLeast"/>
              <w:rPr>
                <w:rFonts w:ascii="Cambria" w:hAnsi="Cambria"/>
                <w:b/>
                <w:color w:val="002060"/>
              </w:rPr>
            </w:pPr>
            <w:r w:rsidRPr="001A2818">
              <w:rPr>
                <w:rFonts w:ascii="Cambria" w:hAnsi="Cambria"/>
                <w:b/>
                <w:color w:val="002060"/>
              </w:rPr>
              <w:t xml:space="preserve">4982 Sayılı Bilgi Edinme Hakkı Kanunu </w:t>
            </w:r>
            <w:r w:rsidRPr="001A2818">
              <w:rPr>
                <w:rFonts w:ascii="Cambria" w:hAnsi="Cambria"/>
                <w:b/>
                <w:bCs/>
                <w:color w:val="002060"/>
              </w:rPr>
              <w:t>(Madde-14</w:t>
            </w:r>
            <w:r w:rsidRPr="001A2818">
              <w:rPr>
                <w:rFonts w:ascii="Cambria" w:hAnsi="Cambria"/>
                <w:b/>
                <w:bCs/>
                <w:color w:val="002060"/>
              </w:rPr>
              <w:t>)</w:t>
            </w:r>
          </w:p>
        </w:tc>
        <w:tc>
          <w:tcPr>
            <w:tcW w:w="7513" w:type="dxa"/>
            <w:shd w:val="clear" w:color="auto" w:fill="FFFFFF" w:themeFill="background1"/>
            <w:vAlign w:val="center"/>
          </w:tcPr>
          <w:p w14:paraId="04E59D6B" w14:textId="569EB3B4" w:rsidR="008F651E" w:rsidRPr="001A2818" w:rsidRDefault="001A2818" w:rsidP="001A2818">
            <w:pPr>
              <w:pStyle w:val="ListeParagraf"/>
              <w:numPr>
                <w:ilvl w:val="0"/>
                <w:numId w:val="27"/>
              </w:numPr>
              <w:spacing w:after="0" w:line="305" w:lineRule="atLeast"/>
              <w:jc w:val="both"/>
              <w:rPr>
                <w:rFonts w:ascii="Cambria" w:hAnsi="Cambria"/>
              </w:rPr>
            </w:pPr>
            <w:r w:rsidRPr="001A2818">
              <w:rPr>
                <w:rFonts w:ascii="Cambria" w:hAnsi="Cambria"/>
              </w:rPr>
              <w:t xml:space="preserve">Kurul üyelerine 10.2.1954 tarihli ve 6245 sayılı Harcırah Kanunu hükümleri saklı kalmak kaydıyla fiilen görev yaptıkları her gün için </w:t>
            </w:r>
            <w:r w:rsidRPr="001A2818">
              <w:rPr>
                <w:rFonts w:ascii="Cambria" w:hAnsi="Cambria"/>
                <w:b/>
                <w:color w:val="C00000"/>
              </w:rPr>
              <w:t>(3000) GÖSTERGE RAKAMININ</w:t>
            </w:r>
            <w:r w:rsidRPr="001A2818">
              <w:rPr>
                <w:rFonts w:ascii="Cambria" w:hAnsi="Cambria"/>
                <w:color w:val="C00000"/>
              </w:rPr>
              <w:t xml:space="preserve"> </w:t>
            </w:r>
            <w:r w:rsidRPr="001A2818">
              <w:rPr>
                <w:rFonts w:ascii="Cambria" w:hAnsi="Cambria"/>
              </w:rPr>
              <w:t xml:space="preserve">memur aylık katsayısı ile çarpımı sonucu bulunacak miktarda </w:t>
            </w:r>
            <w:r w:rsidRPr="001A2818">
              <w:rPr>
                <w:rFonts w:ascii="Cambria" w:hAnsi="Cambria"/>
              </w:rPr>
              <w:t xml:space="preserve">Huzur Hakkı </w:t>
            </w:r>
            <w:r w:rsidRPr="001A2818">
              <w:rPr>
                <w:rFonts w:ascii="Cambria" w:hAnsi="Cambria"/>
              </w:rPr>
              <w:t>ödenir. Bu ödemelerde damga vergisi hariç herhangi bir kesinti yapılmaz. Bir ayda fiilen görev yapılan gün sayısının dördü aşması halinde, aşan günler için huzur hakkı ödenmez.</w:t>
            </w:r>
            <w:r w:rsidR="008F651E" w:rsidRPr="001A2818">
              <w:rPr>
                <w:rFonts w:ascii="Cambria" w:hAnsi="Cambria"/>
              </w:rPr>
              <w:t xml:space="preserve"> </w:t>
            </w:r>
          </w:p>
        </w:tc>
      </w:tr>
      <w:tr w:rsidR="008F651E" w:rsidRPr="001A2818" w14:paraId="3EEAC410" w14:textId="77777777" w:rsidTr="00410221">
        <w:trPr>
          <w:trHeight w:val="231"/>
        </w:trPr>
        <w:tc>
          <w:tcPr>
            <w:tcW w:w="7083" w:type="dxa"/>
            <w:shd w:val="clear" w:color="auto" w:fill="FFFFFF" w:themeFill="background1"/>
          </w:tcPr>
          <w:p w14:paraId="2B7888D7" w14:textId="52390BB8" w:rsidR="008F651E" w:rsidRPr="001A2818" w:rsidRDefault="001A2818" w:rsidP="007D6DC2">
            <w:pPr>
              <w:spacing w:after="0" w:line="305" w:lineRule="atLeast"/>
              <w:rPr>
                <w:rFonts w:ascii="Cambria" w:hAnsi="Cambria"/>
                <w:b/>
                <w:color w:val="002060"/>
              </w:rPr>
            </w:pPr>
            <w:r w:rsidRPr="001A2818">
              <w:rPr>
                <w:rFonts w:ascii="Cambria" w:hAnsi="Cambria"/>
                <w:b/>
                <w:color w:val="002060"/>
              </w:rPr>
              <w:t>5018 Sayılı Kamu Mali Yönetimi v</w:t>
            </w:r>
            <w:r w:rsidRPr="001A2818">
              <w:rPr>
                <w:rFonts w:ascii="Cambria" w:hAnsi="Cambria"/>
                <w:b/>
                <w:color w:val="002060"/>
              </w:rPr>
              <w:t>e Kontrol Kanunu (Madde-49</w:t>
            </w:r>
            <w:r w:rsidRPr="001A2818">
              <w:rPr>
                <w:rFonts w:ascii="Cambria" w:hAnsi="Cambria"/>
                <w:b/>
                <w:color w:val="002060"/>
              </w:rPr>
              <w:t>)</w:t>
            </w:r>
          </w:p>
        </w:tc>
        <w:tc>
          <w:tcPr>
            <w:tcW w:w="7513" w:type="dxa"/>
            <w:shd w:val="clear" w:color="auto" w:fill="FFFFFF" w:themeFill="background1"/>
            <w:vAlign w:val="center"/>
          </w:tcPr>
          <w:p w14:paraId="4A266B2F" w14:textId="4A90BD21" w:rsidR="008F651E" w:rsidRPr="001A2818" w:rsidRDefault="001A2818" w:rsidP="001A2818">
            <w:pPr>
              <w:pStyle w:val="ListeParagraf"/>
              <w:numPr>
                <w:ilvl w:val="0"/>
                <w:numId w:val="27"/>
              </w:numPr>
              <w:spacing w:after="0" w:line="305" w:lineRule="atLeast"/>
              <w:jc w:val="both"/>
              <w:rPr>
                <w:rFonts w:ascii="Cambria" w:hAnsi="Cambria"/>
              </w:rPr>
            </w:pPr>
            <w:r w:rsidRPr="001A2818">
              <w:rPr>
                <w:rFonts w:ascii="Cambria" w:hAnsi="Cambria"/>
              </w:rPr>
              <w:t xml:space="preserve">Genel yönetim kapsamındaki kamu idarelerinde uygulanacak muhasebe ve raporlama standartları, uluslararası standartlara uygun olarak Hazine ve Maliye Bakanlığı bünyesinde; Sayıştay Başkanlığı, Hazine ve Maliye Bakanlığı ve diğer ilgili kuruluş temsilcilerinin katılımıyla oluşturulacak olan Devlet Muhasebesi Standartları Kurulu tarafından belirlenir. Bu standartlar Resmî Gazetede yayımlanır. Kurulun yapısı, çalışma usûl ve esasları ile diğer hususlar Maliye </w:t>
            </w:r>
            <w:r w:rsidRPr="001A2818">
              <w:rPr>
                <w:rFonts w:ascii="Cambria" w:hAnsi="Cambria"/>
              </w:rPr>
              <w:lastRenderedPageBreak/>
              <w:t xml:space="preserve">Bakanlığınca çıkarılacak yönetmelikle düzenlenir. Bu Kurulda görevlendirilenlerin aslî görevleri devam eder. Başkan ve üyelere, </w:t>
            </w:r>
            <w:r w:rsidRPr="001A2818">
              <w:rPr>
                <w:rFonts w:ascii="Cambria" w:hAnsi="Cambria"/>
              </w:rPr>
              <w:t xml:space="preserve">ayda ikiden fazla olmamak üzere </w:t>
            </w:r>
            <w:r w:rsidRPr="001A2818">
              <w:rPr>
                <w:rFonts w:ascii="Cambria" w:hAnsi="Cambria"/>
              </w:rPr>
              <w:t xml:space="preserve">her toplantı günü için </w:t>
            </w:r>
            <w:r w:rsidRPr="001A2818">
              <w:rPr>
                <w:rFonts w:ascii="Cambria" w:hAnsi="Cambria"/>
                <w:b/>
                <w:color w:val="C00000"/>
              </w:rPr>
              <w:t>(3000) GÖSTERGE RAKAMININ</w:t>
            </w:r>
            <w:r w:rsidRPr="001A2818">
              <w:rPr>
                <w:rFonts w:ascii="Cambria" w:hAnsi="Cambria"/>
              </w:rPr>
              <w:t xml:space="preserve"> memur aylık katsayısıyla çarpımı sonucu bulunacak tutar üzerinden toplantı ücreti ödenir</w:t>
            </w:r>
          </w:p>
        </w:tc>
      </w:tr>
      <w:tr w:rsidR="008F651E" w:rsidRPr="001A2818" w14:paraId="25170A44" w14:textId="77777777" w:rsidTr="00410221">
        <w:trPr>
          <w:trHeight w:val="231"/>
        </w:trPr>
        <w:tc>
          <w:tcPr>
            <w:tcW w:w="7083" w:type="dxa"/>
            <w:shd w:val="clear" w:color="auto" w:fill="FFFFFF" w:themeFill="background1"/>
          </w:tcPr>
          <w:p w14:paraId="506726A3" w14:textId="45A85996" w:rsidR="008F651E" w:rsidRPr="001A2818" w:rsidRDefault="001A2818" w:rsidP="007D6DC2">
            <w:pPr>
              <w:spacing w:after="0" w:line="305" w:lineRule="atLeast"/>
              <w:rPr>
                <w:rFonts w:ascii="Cambria" w:hAnsi="Cambria"/>
                <w:b/>
                <w:color w:val="002060"/>
              </w:rPr>
            </w:pPr>
            <w:r w:rsidRPr="001A2818">
              <w:rPr>
                <w:rFonts w:ascii="Cambria" w:hAnsi="Cambria"/>
                <w:b/>
                <w:color w:val="002060"/>
              </w:rPr>
              <w:lastRenderedPageBreak/>
              <w:t>5018 Sayılı Kamu Mali Yönetimi v</w:t>
            </w:r>
            <w:r w:rsidRPr="001A2818">
              <w:rPr>
                <w:rFonts w:ascii="Cambria" w:hAnsi="Cambria"/>
                <w:b/>
                <w:color w:val="002060"/>
              </w:rPr>
              <w:t>e Kontrol Kanunu (Madde-66</w:t>
            </w:r>
            <w:r w:rsidRPr="001A2818">
              <w:rPr>
                <w:rFonts w:ascii="Cambria" w:hAnsi="Cambria"/>
                <w:b/>
                <w:color w:val="002060"/>
              </w:rPr>
              <w:t>)</w:t>
            </w:r>
          </w:p>
        </w:tc>
        <w:tc>
          <w:tcPr>
            <w:tcW w:w="7513" w:type="dxa"/>
            <w:shd w:val="clear" w:color="auto" w:fill="FFFFFF" w:themeFill="background1"/>
            <w:vAlign w:val="center"/>
          </w:tcPr>
          <w:p w14:paraId="20422876" w14:textId="2D307B08" w:rsidR="008F651E" w:rsidRPr="001A2818" w:rsidRDefault="001A2818" w:rsidP="008F651E">
            <w:pPr>
              <w:pStyle w:val="ListeParagraf"/>
              <w:numPr>
                <w:ilvl w:val="0"/>
                <w:numId w:val="18"/>
              </w:numPr>
              <w:spacing w:after="0" w:line="305" w:lineRule="atLeast"/>
              <w:jc w:val="both"/>
              <w:rPr>
                <w:rFonts w:ascii="Cambria" w:hAnsi="Cambria"/>
              </w:rPr>
            </w:pPr>
            <w:r w:rsidRPr="001A2818">
              <w:rPr>
                <w:rFonts w:ascii="Cambria" w:hAnsi="Cambria"/>
              </w:rPr>
              <w:t xml:space="preserve">Hazine ve Maliye Bakanlığına bağlı İç Denetim Koordinasyon Kurulu, </w:t>
            </w:r>
            <w:r w:rsidRPr="001A2818">
              <w:rPr>
                <w:rFonts w:ascii="Cambria" w:hAnsi="Cambria"/>
              </w:rPr>
              <w:t>yedi üyeden oluşur</w:t>
            </w:r>
            <w:r w:rsidRPr="001A2818">
              <w:rPr>
                <w:rFonts w:ascii="Cambria" w:hAnsi="Cambria"/>
              </w:rPr>
              <w:t xml:space="preserve">. Gerekli görülen hallerde İç Denetim Koordinasyon Kurulu, oy hakkı olmamak kaydıyla teknik yardım almak ve danışmak amacıyla uzman kişileri de toplantılara davet edebilir. Kurulun çalışma usul ve esasları ile diğer hususlar İç Denetim Koordinasyon Kurulunun önerisi üzerine Hazine ve Maliye Bakanlığınca çıkarılacak yönetmelikle düzenlenir. İç Denetim Koordinasyon Kurulunda görevlendirilenlerin asli görevleri devam eder. Başkan ve üyelerine, </w:t>
            </w:r>
            <w:r w:rsidRPr="001A2818">
              <w:rPr>
                <w:rFonts w:ascii="Cambria" w:hAnsi="Cambria"/>
              </w:rPr>
              <w:t xml:space="preserve">ayda dörtten fazla olmamak üzere </w:t>
            </w:r>
            <w:r w:rsidRPr="001A2818">
              <w:rPr>
                <w:rFonts w:ascii="Cambria" w:hAnsi="Cambria"/>
              </w:rPr>
              <w:t xml:space="preserve">her toplantı günü için </w:t>
            </w:r>
            <w:r w:rsidRPr="001A2818">
              <w:rPr>
                <w:rFonts w:ascii="Cambria" w:hAnsi="Cambria"/>
                <w:b/>
                <w:color w:val="C00000"/>
              </w:rPr>
              <w:t>(3000) GÖSTERGE RAKAMININ</w:t>
            </w:r>
            <w:r w:rsidRPr="001A2818">
              <w:rPr>
                <w:rFonts w:ascii="Cambria" w:hAnsi="Cambria"/>
                <w:color w:val="C00000"/>
              </w:rPr>
              <w:t xml:space="preserve"> </w:t>
            </w:r>
            <w:r w:rsidRPr="001A2818">
              <w:rPr>
                <w:rFonts w:ascii="Cambria" w:hAnsi="Cambria"/>
              </w:rPr>
              <w:t>memur aylık katsayısıyla çarpımı sonucu bulunacak tutar üzerinden toplantı ücreti ödenir</w:t>
            </w:r>
            <w:r w:rsidRPr="001A2818">
              <w:rPr>
                <w:rFonts w:ascii="Cambria" w:hAnsi="Cambria"/>
              </w:rPr>
              <w:t>.</w:t>
            </w:r>
          </w:p>
        </w:tc>
      </w:tr>
      <w:tr w:rsidR="008F651E" w:rsidRPr="001A2818" w14:paraId="304DE041" w14:textId="77777777" w:rsidTr="00410221">
        <w:trPr>
          <w:trHeight w:val="231"/>
        </w:trPr>
        <w:tc>
          <w:tcPr>
            <w:tcW w:w="7083" w:type="dxa"/>
            <w:shd w:val="clear" w:color="auto" w:fill="FFFFFF" w:themeFill="background1"/>
          </w:tcPr>
          <w:p w14:paraId="3DAC7072" w14:textId="6E43ED1B" w:rsidR="008F651E" w:rsidRPr="001A2818" w:rsidRDefault="001A2818" w:rsidP="007D6DC2">
            <w:pPr>
              <w:spacing w:after="0" w:line="305" w:lineRule="atLeast"/>
              <w:rPr>
                <w:rFonts w:ascii="Cambria" w:hAnsi="Cambria"/>
                <w:b/>
                <w:color w:val="002060"/>
              </w:rPr>
            </w:pPr>
            <w:r w:rsidRPr="001A2818">
              <w:rPr>
                <w:rFonts w:ascii="Cambria" w:hAnsi="Cambria"/>
                <w:b/>
                <w:color w:val="002060"/>
              </w:rPr>
              <w:t>4734 sayılı Kamu İhale Kanunu</w:t>
            </w:r>
            <w:r w:rsidR="008F651E" w:rsidRPr="001A2818">
              <w:rPr>
                <w:rFonts w:ascii="Cambria" w:hAnsi="Cambria"/>
                <w:b/>
                <w:color w:val="002060"/>
              </w:rPr>
              <w:t xml:space="preserve"> </w:t>
            </w:r>
            <w:r w:rsidRPr="001A2818">
              <w:rPr>
                <w:rFonts w:ascii="Cambria" w:hAnsi="Cambria"/>
                <w:b/>
                <w:bCs/>
                <w:color w:val="002060"/>
              </w:rPr>
              <w:t>(Madde-56</w:t>
            </w:r>
            <w:r w:rsidR="008F651E" w:rsidRPr="001A2818">
              <w:rPr>
                <w:rFonts w:ascii="Cambria" w:hAnsi="Cambria"/>
                <w:b/>
                <w:bCs/>
                <w:color w:val="002060"/>
              </w:rPr>
              <w:t>)</w:t>
            </w:r>
          </w:p>
        </w:tc>
        <w:tc>
          <w:tcPr>
            <w:tcW w:w="7513" w:type="dxa"/>
            <w:shd w:val="clear" w:color="auto" w:fill="FFFFFF" w:themeFill="background1"/>
            <w:vAlign w:val="center"/>
          </w:tcPr>
          <w:p w14:paraId="1B62972A" w14:textId="3D9E1E9B" w:rsidR="008F651E" w:rsidRPr="001A2818" w:rsidRDefault="001A2818" w:rsidP="001A2818">
            <w:pPr>
              <w:pStyle w:val="ListeParagraf"/>
              <w:numPr>
                <w:ilvl w:val="0"/>
                <w:numId w:val="27"/>
              </w:numPr>
              <w:spacing w:after="0" w:line="305" w:lineRule="atLeast"/>
              <w:jc w:val="both"/>
              <w:rPr>
                <w:rFonts w:ascii="Cambria" w:hAnsi="Cambria"/>
              </w:rPr>
            </w:pPr>
            <w:r w:rsidRPr="001A2818">
              <w:rPr>
                <w:rFonts w:ascii="Cambria" w:hAnsi="Cambria"/>
              </w:rPr>
              <w:t xml:space="preserve">Kamu İhale </w:t>
            </w:r>
            <w:r w:rsidRPr="001A2818">
              <w:rPr>
                <w:rFonts w:ascii="Cambria" w:hAnsi="Cambria"/>
              </w:rPr>
              <w:t>Kurum</w:t>
            </w:r>
            <w:r w:rsidRPr="001A2818">
              <w:rPr>
                <w:rFonts w:ascii="Cambria" w:hAnsi="Cambria"/>
              </w:rPr>
              <w:t>u</w:t>
            </w:r>
            <w:r w:rsidRPr="001A2818">
              <w:rPr>
                <w:rFonts w:ascii="Cambria" w:hAnsi="Cambria"/>
              </w:rPr>
              <w:t xml:space="preserve">, gerekli gördüğü takdirde özel uzmanlık gerektiren teknik hususlarla ilgili olarak ihtisas sahibi kamu veya özel hukuk tüzel kişileri ile gerçek kişilerin görüşüne başvurabilir. Görüşüne başvurulan özel hukuk tüzel kişileri ile gerçek kişilere </w:t>
            </w:r>
            <w:r w:rsidRPr="001A2818">
              <w:rPr>
                <w:rFonts w:ascii="Cambria" w:hAnsi="Cambria"/>
                <w:b/>
                <w:color w:val="C00000"/>
              </w:rPr>
              <w:t>(8000) GÖSTERGE RAKAMININ</w:t>
            </w:r>
            <w:r w:rsidRPr="001A2818">
              <w:rPr>
                <w:rFonts w:ascii="Cambria" w:hAnsi="Cambria"/>
                <w:color w:val="C00000"/>
              </w:rPr>
              <w:t xml:space="preserve"> </w:t>
            </w:r>
            <w:r w:rsidRPr="001A2818">
              <w:rPr>
                <w:rFonts w:ascii="Cambria" w:hAnsi="Cambria"/>
              </w:rPr>
              <w:t xml:space="preserve">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w:t>
            </w:r>
            <w:r w:rsidRPr="001A2818">
              <w:rPr>
                <w:rFonts w:ascii="Cambria" w:hAnsi="Cambria"/>
                <w:b/>
                <w:color w:val="C00000"/>
              </w:rPr>
              <w:t xml:space="preserve">(5000) GÖSTERGE RAKAMI </w:t>
            </w:r>
            <w:r w:rsidRPr="001A2818">
              <w:rPr>
                <w:rFonts w:ascii="Cambria" w:hAnsi="Cambria"/>
              </w:rPr>
              <w:t>esas alınmak suretiyle aynı esaslar çerçevesinde ödeme yapılır. Bu fıkra uyarınca yapılacak ödemeler damga vergisi hariç herhangi bir vergi ve kesintiye tabi tutulmaz</w:t>
            </w:r>
            <w:r w:rsidRPr="001A2818">
              <w:rPr>
                <w:rFonts w:ascii="Cambria" w:hAnsi="Cambria"/>
              </w:rPr>
              <w:t>.</w:t>
            </w:r>
          </w:p>
        </w:tc>
      </w:tr>
    </w:tbl>
    <w:p w14:paraId="1EA3C34D" w14:textId="2825D8DE" w:rsidR="000C3B7E" w:rsidRPr="001A2818" w:rsidRDefault="000C3B7E" w:rsidP="00E33DDB">
      <w:pPr>
        <w:spacing w:after="0" w:line="259" w:lineRule="auto"/>
        <w:ind w:right="993"/>
        <w:jc w:val="both"/>
        <w:rPr>
          <w:rFonts w:ascii="Cambria" w:hAnsi="Cambria"/>
          <w:b/>
          <w:bCs/>
          <w:color w:val="002060"/>
        </w:rPr>
      </w:pPr>
    </w:p>
    <w:sectPr w:rsidR="000C3B7E" w:rsidRPr="001A2818" w:rsidSect="00480768">
      <w:headerReference w:type="default" r:id="rId9"/>
      <w:footerReference w:type="default" r:id="rId10"/>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D88B9" w14:textId="77777777" w:rsidR="009F02A6" w:rsidRDefault="009F02A6" w:rsidP="00534F7F">
      <w:pPr>
        <w:spacing w:after="0" w:line="240" w:lineRule="auto"/>
      </w:pPr>
      <w:r>
        <w:separator/>
      </w:r>
    </w:p>
  </w:endnote>
  <w:endnote w:type="continuationSeparator" w:id="0">
    <w:p w14:paraId="7C3954CA" w14:textId="77777777" w:rsidR="009F02A6" w:rsidRDefault="009F02A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3AFDB034"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D6DC2">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D6DC2">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BF57" w14:textId="77777777" w:rsidR="009F02A6" w:rsidRDefault="009F02A6" w:rsidP="00534F7F">
      <w:pPr>
        <w:spacing w:after="0" w:line="240" w:lineRule="auto"/>
      </w:pPr>
      <w:r>
        <w:separator/>
      </w:r>
    </w:p>
  </w:footnote>
  <w:footnote w:type="continuationSeparator" w:id="0">
    <w:p w14:paraId="7BC9160B" w14:textId="77777777" w:rsidR="009F02A6" w:rsidRDefault="009F02A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4C4C9011" w:rsidR="00760E46" w:rsidRPr="0099459A" w:rsidRDefault="00760E46" w:rsidP="007647A4">
          <w:pPr>
            <w:pStyle w:val="stBilgi"/>
            <w:jc w:val="center"/>
            <w:rPr>
              <w:rFonts w:ascii="Cambria" w:hAnsi="Cambria"/>
              <w:b/>
              <w:color w:val="002060"/>
            </w:rPr>
          </w:pPr>
          <w:r>
            <w:rPr>
              <w:rFonts w:ascii="Cambria" w:hAnsi="Cambria"/>
              <w:b/>
              <w:color w:val="002060"/>
            </w:rPr>
            <w:t xml:space="preserve">GYS KONULARI İÇERİSİNDE </w:t>
          </w:r>
          <w:r w:rsidR="007647A4">
            <w:rPr>
              <w:rFonts w:ascii="Cambria" w:hAnsi="Cambria"/>
              <w:b/>
              <w:color w:val="C00000"/>
            </w:rPr>
            <w:t>GÖSTERGE</w:t>
          </w:r>
          <w:r w:rsidR="001A2818">
            <w:rPr>
              <w:rFonts w:ascii="Cambria" w:hAnsi="Cambria"/>
              <w:b/>
              <w:color w:val="C00000"/>
            </w:rPr>
            <w:t xml:space="preserve"> RAKAMI</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D03007"/>
    <w:multiLevelType w:val="hybridMultilevel"/>
    <w:tmpl w:val="34260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7C4498B"/>
    <w:multiLevelType w:val="hybridMultilevel"/>
    <w:tmpl w:val="4B3CAB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2"/>
  </w:num>
  <w:num w:numId="4">
    <w:abstractNumId w:val="9"/>
  </w:num>
  <w:num w:numId="5">
    <w:abstractNumId w:val="21"/>
  </w:num>
  <w:num w:numId="6">
    <w:abstractNumId w:val="7"/>
  </w:num>
  <w:num w:numId="7">
    <w:abstractNumId w:val="14"/>
  </w:num>
  <w:num w:numId="8">
    <w:abstractNumId w:val="24"/>
  </w:num>
  <w:num w:numId="9">
    <w:abstractNumId w:val="18"/>
  </w:num>
  <w:num w:numId="10">
    <w:abstractNumId w:val="5"/>
  </w:num>
  <w:num w:numId="11">
    <w:abstractNumId w:val="12"/>
  </w:num>
  <w:num w:numId="12">
    <w:abstractNumId w:val="3"/>
  </w:num>
  <w:num w:numId="13">
    <w:abstractNumId w:val="13"/>
  </w:num>
  <w:num w:numId="14">
    <w:abstractNumId w:val="2"/>
  </w:num>
  <w:num w:numId="15">
    <w:abstractNumId w:val="10"/>
  </w:num>
  <w:num w:numId="16">
    <w:abstractNumId w:val="26"/>
  </w:num>
  <w:num w:numId="17">
    <w:abstractNumId w:val="15"/>
  </w:num>
  <w:num w:numId="18">
    <w:abstractNumId w:val="0"/>
  </w:num>
  <w:num w:numId="19">
    <w:abstractNumId w:val="17"/>
  </w:num>
  <w:num w:numId="20">
    <w:abstractNumId w:val="23"/>
  </w:num>
  <w:num w:numId="21">
    <w:abstractNumId w:val="8"/>
  </w:num>
  <w:num w:numId="22">
    <w:abstractNumId w:val="6"/>
  </w:num>
  <w:num w:numId="23">
    <w:abstractNumId w:val="1"/>
  </w:num>
  <w:num w:numId="24">
    <w:abstractNumId w:val="16"/>
  </w:num>
  <w:num w:numId="25">
    <w:abstractNumId w:val="25"/>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A2818"/>
    <w:rsid w:val="001C5159"/>
    <w:rsid w:val="001D0C46"/>
    <w:rsid w:val="001E43BD"/>
    <w:rsid w:val="001F16FF"/>
    <w:rsid w:val="0020508C"/>
    <w:rsid w:val="00205643"/>
    <w:rsid w:val="00216C37"/>
    <w:rsid w:val="0022640A"/>
    <w:rsid w:val="002335DB"/>
    <w:rsid w:val="00244B8F"/>
    <w:rsid w:val="0025424C"/>
    <w:rsid w:val="00271BDB"/>
    <w:rsid w:val="00272BBF"/>
    <w:rsid w:val="00283B8F"/>
    <w:rsid w:val="002A552D"/>
    <w:rsid w:val="002A7BA6"/>
    <w:rsid w:val="002C2D67"/>
    <w:rsid w:val="002C4415"/>
    <w:rsid w:val="002C693E"/>
    <w:rsid w:val="002F0FD6"/>
    <w:rsid w:val="002F1EFC"/>
    <w:rsid w:val="002F3262"/>
    <w:rsid w:val="002F7535"/>
    <w:rsid w:val="003039F2"/>
    <w:rsid w:val="00305D03"/>
    <w:rsid w:val="003230A8"/>
    <w:rsid w:val="00324804"/>
    <w:rsid w:val="00343DA4"/>
    <w:rsid w:val="0034675C"/>
    <w:rsid w:val="003544D1"/>
    <w:rsid w:val="003548DA"/>
    <w:rsid w:val="00354D8E"/>
    <w:rsid w:val="00355DA1"/>
    <w:rsid w:val="00366CE4"/>
    <w:rsid w:val="00367DA4"/>
    <w:rsid w:val="00385009"/>
    <w:rsid w:val="00386B9D"/>
    <w:rsid w:val="003A2158"/>
    <w:rsid w:val="003A7092"/>
    <w:rsid w:val="003C0363"/>
    <w:rsid w:val="003C0F72"/>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207BF"/>
    <w:rsid w:val="006340F8"/>
    <w:rsid w:val="00634A2E"/>
    <w:rsid w:val="00634E90"/>
    <w:rsid w:val="006363C8"/>
    <w:rsid w:val="006450D7"/>
    <w:rsid w:val="0064705C"/>
    <w:rsid w:val="00662375"/>
    <w:rsid w:val="006647DE"/>
    <w:rsid w:val="00680408"/>
    <w:rsid w:val="00681CF7"/>
    <w:rsid w:val="00685A05"/>
    <w:rsid w:val="00687512"/>
    <w:rsid w:val="006A49A2"/>
    <w:rsid w:val="006B361B"/>
    <w:rsid w:val="006B7C08"/>
    <w:rsid w:val="006D010E"/>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47A4"/>
    <w:rsid w:val="007669B5"/>
    <w:rsid w:val="007756CA"/>
    <w:rsid w:val="0078136B"/>
    <w:rsid w:val="007B17AF"/>
    <w:rsid w:val="007B651E"/>
    <w:rsid w:val="007C544E"/>
    <w:rsid w:val="007C7711"/>
    <w:rsid w:val="007D33B0"/>
    <w:rsid w:val="007D3B4A"/>
    <w:rsid w:val="007D6DC2"/>
    <w:rsid w:val="007F5627"/>
    <w:rsid w:val="007F6D20"/>
    <w:rsid w:val="00810524"/>
    <w:rsid w:val="008144C0"/>
    <w:rsid w:val="008302E9"/>
    <w:rsid w:val="00834051"/>
    <w:rsid w:val="00835F73"/>
    <w:rsid w:val="00846AD8"/>
    <w:rsid w:val="0085403F"/>
    <w:rsid w:val="00855045"/>
    <w:rsid w:val="00857BA4"/>
    <w:rsid w:val="0087039C"/>
    <w:rsid w:val="008856BB"/>
    <w:rsid w:val="00886126"/>
    <w:rsid w:val="008949DF"/>
    <w:rsid w:val="008A398A"/>
    <w:rsid w:val="008A5D4F"/>
    <w:rsid w:val="008A7B1D"/>
    <w:rsid w:val="008B0D27"/>
    <w:rsid w:val="008C370D"/>
    <w:rsid w:val="008C5DE2"/>
    <w:rsid w:val="008D3350"/>
    <w:rsid w:val="008F15A2"/>
    <w:rsid w:val="008F3C18"/>
    <w:rsid w:val="008F651E"/>
    <w:rsid w:val="00900183"/>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9F02A6"/>
    <w:rsid w:val="00A0660E"/>
    <w:rsid w:val="00A17B7B"/>
    <w:rsid w:val="00A24AA3"/>
    <w:rsid w:val="00A24D75"/>
    <w:rsid w:val="00A256FB"/>
    <w:rsid w:val="00A30FDD"/>
    <w:rsid w:val="00A34B83"/>
    <w:rsid w:val="00A367BA"/>
    <w:rsid w:val="00A37C6E"/>
    <w:rsid w:val="00A414C8"/>
    <w:rsid w:val="00A42793"/>
    <w:rsid w:val="00A44454"/>
    <w:rsid w:val="00A44D03"/>
    <w:rsid w:val="00A513AD"/>
    <w:rsid w:val="00A5214F"/>
    <w:rsid w:val="00A74875"/>
    <w:rsid w:val="00A9520D"/>
    <w:rsid w:val="00AC44E2"/>
    <w:rsid w:val="00AC5A9B"/>
    <w:rsid w:val="00AC7352"/>
    <w:rsid w:val="00AC7F75"/>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34AA2"/>
    <w:rsid w:val="00D42DDB"/>
    <w:rsid w:val="00D66B5F"/>
    <w:rsid w:val="00D76151"/>
    <w:rsid w:val="00D859BC"/>
    <w:rsid w:val="00D9217B"/>
    <w:rsid w:val="00DA0731"/>
    <w:rsid w:val="00DB3905"/>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C1BCE"/>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BB64C-B385-4310-88D1-7A6545C0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8</cp:revision>
  <cp:lastPrinted>2024-02-07T07:57:00Z</cp:lastPrinted>
  <dcterms:created xsi:type="dcterms:W3CDTF">2024-07-23T12:39:00Z</dcterms:created>
  <dcterms:modified xsi:type="dcterms:W3CDTF">2024-07-23T15:54:00Z</dcterms:modified>
</cp:coreProperties>
</file>