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7017A8"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7017A8" w:rsidRDefault="0096786C" w:rsidP="00AC5A9B">
            <w:pPr>
              <w:pStyle w:val="AralkYok"/>
              <w:jc w:val="center"/>
              <w:rPr>
                <w:rFonts w:ascii="Cambria" w:hAnsi="Cambria"/>
                <w:b/>
                <w:bCs/>
                <w:color w:val="C00000"/>
              </w:rPr>
            </w:pPr>
            <w:r w:rsidRPr="007017A8">
              <w:rPr>
                <w:rFonts w:ascii="Cambria" w:hAnsi="Cambria"/>
                <w:b/>
                <w:bCs/>
                <w:color w:val="C00000"/>
              </w:rPr>
              <w:t>MEVZUAT HÜKMÜ</w:t>
            </w:r>
          </w:p>
        </w:tc>
      </w:tr>
      <w:tr w:rsidR="00410221" w:rsidRPr="007017A8" w14:paraId="43C3D7C4" w14:textId="77777777" w:rsidTr="00410221">
        <w:trPr>
          <w:trHeight w:val="231"/>
        </w:trPr>
        <w:tc>
          <w:tcPr>
            <w:tcW w:w="7083" w:type="dxa"/>
            <w:shd w:val="clear" w:color="auto" w:fill="FFFFFF" w:themeFill="background1"/>
          </w:tcPr>
          <w:p w14:paraId="3B52694C" w14:textId="77777777" w:rsidR="00410221" w:rsidRPr="007017A8" w:rsidRDefault="00410221" w:rsidP="00410221">
            <w:pPr>
              <w:spacing w:after="0" w:line="305" w:lineRule="atLeast"/>
              <w:jc w:val="both"/>
              <w:rPr>
                <w:rFonts w:ascii="Cambria" w:hAnsi="Cambria"/>
                <w:b/>
                <w:color w:val="002060"/>
              </w:rPr>
            </w:pPr>
          </w:p>
          <w:p w14:paraId="07462CB6" w14:textId="77777777" w:rsidR="00410221" w:rsidRPr="007017A8" w:rsidRDefault="00410221" w:rsidP="00410221">
            <w:pPr>
              <w:spacing w:after="0" w:line="305" w:lineRule="atLeast"/>
              <w:jc w:val="both"/>
              <w:rPr>
                <w:rFonts w:ascii="Cambria" w:hAnsi="Cambria"/>
                <w:b/>
                <w:color w:val="002060"/>
              </w:rPr>
            </w:pPr>
          </w:p>
          <w:p w14:paraId="4205AECA" w14:textId="77777777" w:rsidR="00410221" w:rsidRPr="007017A8" w:rsidRDefault="00410221" w:rsidP="00410221">
            <w:pPr>
              <w:spacing w:after="0" w:line="305" w:lineRule="atLeast"/>
              <w:jc w:val="both"/>
              <w:rPr>
                <w:rFonts w:ascii="Cambria" w:hAnsi="Cambria"/>
                <w:b/>
                <w:color w:val="002060"/>
              </w:rPr>
            </w:pPr>
          </w:p>
          <w:p w14:paraId="1BE34638" w14:textId="77777777" w:rsidR="00410221" w:rsidRPr="007017A8" w:rsidRDefault="00410221" w:rsidP="00410221">
            <w:pPr>
              <w:spacing w:after="0" w:line="305" w:lineRule="atLeast"/>
              <w:jc w:val="both"/>
              <w:rPr>
                <w:rFonts w:ascii="Cambria" w:hAnsi="Cambria"/>
                <w:b/>
                <w:color w:val="002060"/>
              </w:rPr>
            </w:pPr>
          </w:p>
          <w:p w14:paraId="60E8C3DE" w14:textId="3AAD0D48" w:rsidR="00410221" w:rsidRPr="007017A8" w:rsidRDefault="00410221" w:rsidP="00410221">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(Madde-36)</w:t>
            </w:r>
          </w:p>
        </w:tc>
        <w:tc>
          <w:tcPr>
            <w:tcW w:w="7513" w:type="dxa"/>
            <w:shd w:val="clear" w:color="auto" w:fill="FFFFFF" w:themeFill="background1"/>
            <w:vAlign w:val="center"/>
          </w:tcPr>
          <w:p w14:paraId="5CAF14F5" w14:textId="16F821E2" w:rsidR="003742F5" w:rsidRPr="007017A8" w:rsidRDefault="00410221" w:rsidP="003C6311">
            <w:pPr>
              <w:pStyle w:val="ListeParagraf"/>
              <w:numPr>
                <w:ilvl w:val="0"/>
                <w:numId w:val="18"/>
              </w:numPr>
              <w:spacing w:after="0" w:line="305" w:lineRule="atLeast"/>
              <w:jc w:val="both"/>
              <w:rPr>
                <w:rFonts w:ascii="Cambria" w:hAnsi="Cambria"/>
              </w:rPr>
            </w:pPr>
            <w:r w:rsidRPr="007017A8">
              <w:rPr>
                <w:rFonts w:ascii="Cambria" w:hAnsi="Cambria"/>
              </w:rPr>
              <w:t xml:space="preserve">Sözleşmeli olarak istihdam edilecek profesör ve doçent sayısı, ilgili tıp ve diş hekimliği fakültelerinde devamlı statüde çalışan öğretim üyesi sayısının yüzde 5’inden fazla olamaz. 1/3/2006 tarihinden sonra kurulan üniversiteler, bu oranlara tabi olmaksızın beş kişiye kadar sözleşmeli öğretim üyesi istihdam edebilir. Sözleşmeler, aylık çalışma süresi seksen saati geçmemek üzere bir yıla kadar yapılabilir. Süresi </w:t>
            </w:r>
            <w:r w:rsidRPr="007017A8">
              <w:rPr>
                <w:rFonts w:ascii="Cambria" w:hAnsi="Cambria"/>
                <w:b/>
                <w:color w:val="C00000"/>
              </w:rPr>
              <w:t>İKİ AYI</w:t>
            </w:r>
            <w:r w:rsidRPr="007017A8">
              <w:rPr>
                <w:rFonts w:ascii="Cambria" w:hAnsi="Cambria"/>
              </w:rPr>
              <w:t xml:space="preserve"> geçmeyen sözleşmeler üniversite yönetim kurulunun kararıyla yapılır ve yapılan sözleşmelerin içeriği ve gerekçesi hakkında yedi gün içinde Yükseköğretim Kuruluna bilgi verilir. </w:t>
            </w:r>
            <w:r w:rsidRPr="007017A8">
              <w:rPr>
                <w:rFonts w:ascii="Cambria" w:hAnsi="Cambria"/>
                <w:b/>
                <w:color w:val="C00000"/>
              </w:rPr>
              <w:t>İKİ AYDAN</w:t>
            </w:r>
            <w:r w:rsidRPr="007017A8">
              <w:rPr>
                <w:rFonts w:ascii="Cambria" w:hAnsi="Cambria"/>
              </w:rPr>
              <w:t xml:space="preserve"> daha uzun süreli sözleşmeler, üniversite yönetim kurulunun kararı ve Yükseköğretim Kurulunun izniyle yapılır. Aynı hizmet için </w:t>
            </w:r>
            <w:r w:rsidRPr="007017A8">
              <w:rPr>
                <w:rFonts w:ascii="Cambria" w:hAnsi="Cambria"/>
                <w:b/>
                <w:color w:val="C00000"/>
              </w:rPr>
              <w:t>İKİ AYDAN SONRA</w:t>
            </w:r>
            <w:r w:rsidRPr="007017A8">
              <w:rPr>
                <w:rFonts w:ascii="Cambria" w:hAnsi="Cambria"/>
                <w:color w:val="C00000"/>
              </w:rPr>
              <w:t xml:space="preserve"> </w:t>
            </w:r>
            <w:r w:rsidRPr="007017A8">
              <w:rPr>
                <w:rFonts w:ascii="Cambria" w:hAnsi="Cambria"/>
              </w:rPr>
              <w:t>yapılacak müteakip sözleşmeler de Yükseköğretim Kurulunun iznine tabidir.</w:t>
            </w:r>
          </w:p>
        </w:tc>
      </w:tr>
      <w:tr w:rsidR="00855045" w:rsidRPr="007017A8" w14:paraId="70E1071C" w14:textId="77777777" w:rsidTr="00410221">
        <w:trPr>
          <w:trHeight w:val="231"/>
        </w:trPr>
        <w:tc>
          <w:tcPr>
            <w:tcW w:w="7083" w:type="dxa"/>
            <w:shd w:val="clear" w:color="auto" w:fill="FFFFFF" w:themeFill="background1"/>
          </w:tcPr>
          <w:p w14:paraId="5C809CA1" w14:textId="7E3D696D"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2547 Sayılı Yükseköğretim Kanunu </w:t>
            </w:r>
            <w:r w:rsidRPr="007017A8">
              <w:rPr>
                <w:rFonts w:ascii="Cambria" w:hAnsi="Cambria"/>
                <w:b/>
                <w:bCs/>
                <w:color w:val="002060"/>
              </w:rPr>
              <w:t>(Madde-53/A)</w:t>
            </w:r>
          </w:p>
        </w:tc>
        <w:tc>
          <w:tcPr>
            <w:tcW w:w="7513" w:type="dxa"/>
            <w:shd w:val="clear" w:color="auto" w:fill="FFFFFF" w:themeFill="background1"/>
            <w:vAlign w:val="center"/>
          </w:tcPr>
          <w:p w14:paraId="4D05C19A" w14:textId="762873ED" w:rsidR="003742F5" w:rsidRPr="007017A8"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Soruşturma, görevlendirme yazısının tebliğ tarihinden itibaren </w:t>
            </w:r>
            <w:r w:rsidRPr="007017A8">
              <w:rPr>
                <w:rFonts w:ascii="Cambria" w:hAnsi="Cambria"/>
                <w:b/>
                <w:color w:val="C00000"/>
              </w:rPr>
              <w:t>İKİ AY İÇİNDE</w:t>
            </w:r>
            <w:r w:rsidRPr="007017A8">
              <w:rPr>
                <w:rFonts w:ascii="Cambria" w:hAnsi="Cambria"/>
                <w:color w:val="C00000"/>
              </w:rPr>
              <w:t xml:space="preserve"> </w:t>
            </w:r>
            <w:r w:rsidRPr="007017A8">
              <w:rPr>
                <w:rFonts w:ascii="Cambria" w:hAnsi="Cambria"/>
              </w:rPr>
              <w:t>tamamlanır. Soruşturma bu süre içinde tamamlanamaz ise soruşturmacı gerekçeli olarak ek süre talep edebilir, disiplin amiri gerekçeyi değerlendirerek ve zamanaşımı sürelerini dikkate alarak karar verir.</w:t>
            </w:r>
          </w:p>
        </w:tc>
      </w:tr>
      <w:tr w:rsidR="00855045" w:rsidRPr="007017A8" w14:paraId="08DB0EFE" w14:textId="77777777" w:rsidTr="00410221">
        <w:trPr>
          <w:trHeight w:val="231"/>
        </w:trPr>
        <w:tc>
          <w:tcPr>
            <w:tcW w:w="7083" w:type="dxa"/>
            <w:shd w:val="clear" w:color="auto" w:fill="FFFFFF" w:themeFill="background1"/>
          </w:tcPr>
          <w:p w14:paraId="363EFDAB" w14:textId="6A284A2C"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(Madde-4)</w:t>
            </w:r>
          </w:p>
        </w:tc>
        <w:tc>
          <w:tcPr>
            <w:tcW w:w="7513" w:type="dxa"/>
            <w:shd w:val="clear" w:color="auto" w:fill="FFFFFF" w:themeFill="background1"/>
            <w:vAlign w:val="center"/>
          </w:tcPr>
          <w:p w14:paraId="29965F84" w14:textId="3EE20080" w:rsidR="003742F5" w:rsidRPr="007017A8"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atananlara iş sonu tazminatı ödenmez. Bu personelin önceden iş sonu tazminatı ödenmiş </w:t>
            </w:r>
            <w:r w:rsidRPr="007017A8">
              <w:rPr>
                <w:rFonts w:ascii="Cambria" w:hAnsi="Cambria"/>
              </w:rPr>
              <w:lastRenderedPageBreak/>
              <w:t xml:space="preserve">süreleri hariç, iş sonu tazminatına esas olan toplam hizmet süreleri, 8/6/1949 tarihli ve 5434 sayılı Türkiye Cumhuriyeti Emekli Sandığı Kanunu uyarınca ödenecek emekli ikramiyesine esas toplam hizmet süresinin hesabında dikkate alınır. Bu kapsamda sözleşmeli personelin atanacağı memur kadroları, başka bir işleme gerek kalmaksızın atama işleminin yapıldığı tarih itibarıyla ihdas edilerek ilgili kurumların kadro cetvellerinin ilgili bölümlerine eklenmiş sayılır. İhdas edilen kadrolar; unvanı, sınıfı, adedi, derecesi ve teşkilatı belirtilmek suretiyle atama tarihinden itibaren </w:t>
            </w:r>
            <w:r w:rsidRPr="007017A8">
              <w:rPr>
                <w:rFonts w:ascii="Cambria" w:hAnsi="Cambria"/>
                <w:b/>
                <w:color w:val="C00000"/>
              </w:rPr>
              <w:t>İKİ AY İÇİNDE</w:t>
            </w:r>
            <w:r w:rsidRPr="007017A8">
              <w:rPr>
                <w:rFonts w:ascii="Cambria" w:hAnsi="Cambria"/>
              </w:rPr>
              <w:t xml:space="preserve"> Kamu Personel Bilgi Sisteminin bulunduğu kuruma bildirilir.</w:t>
            </w:r>
          </w:p>
        </w:tc>
      </w:tr>
      <w:tr w:rsidR="00855045" w:rsidRPr="007017A8" w14:paraId="654D405C" w14:textId="77777777" w:rsidTr="00410221">
        <w:trPr>
          <w:trHeight w:val="231"/>
        </w:trPr>
        <w:tc>
          <w:tcPr>
            <w:tcW w:w="7083" w:type="dxa"/>
            <w:shd w:val="clear" w:color="auto" w:fill="FFFFFF" w:themeFill="background1"/>
          </w:tcPr>
          <w:p w14:paraId="273A66CC" w14:textId="77777777" w:rsidR="003C6311" w:rsidRDefault="003C6311" w:rsidP="00855045">
            <w:pPr>
              <w:spacing w:after="0" w:line="305" w:lineRule="atLeast"/>
              <w:jc w:val="both"/>
              <w:rPr>
                <w:rFonts w:ascii="Cambria" w:hAnsi="Cambria"/>
                <w:b/>
                <w:color w:val="002060"/>
              </w:rPr>
            </w:pPr>
          </w:p>
          <w:p w14:paraId="111ADF07" w14:textId="77777777" w:rsidR="003C6311" w:rsidRDefault="003C6311" w:rsidP="00855045">
            <w:pPr>
              <w:spacing w:after="0" w:line="305" w:lineRule="atLeast"/>
              <w:jc w:val="both"/>
              <w:rPr>
                <w:rFonts w:ascii="Cambria" w:hAnsi="Cambria"/>
                <w:b/>
                <w:color w:val="002060"/>
              </w:rPr>
            </w:pPr>
          </w:p>
          <w:p w14:paraId="7DB3ADB5" w14:textId="77777777" w:rsidR="003C6311" w:rsidRDefault="003C6311" w:rsidP="00855045">
            <w:pPr>
              <w:spacing w:after="0" w:line="305" w:lineRule="atLeast"/>
              <w:jc w:val="both"/>
              <w:rPr>
                <w:rFonts w:ascii="Cambria" w:hAnsi="Cambria"/>
                <w:b/>
                <w:color w:val="002060"/>
              </w:rPr>
            </w:pPr>
          </w:p>
          <w:p w14:paraId="06BE6148" w14:textId="77777777" w:rsidR="003C6311" w:rsidRDefault="003C6311" w:rsidP="00855045">
            <w:pPr>
              <w:spacing w:after="0" w:line="305" w:lineRule="atLeast"/>
              <w:jc w:val="both"/>
              <w:rPr>
                <w:rFonts w:ascii="Cambria" w:hAnsi="Cambria"/>
                <w:b/>
                <w:color w:val="002060"/>
              </w:rPr>
            </w:pPr>
          </w:p>
          <w:p w14:paraId="3C8146C7" w14:textId="77777777" w:rsidR="003C6311" w:rsidRDefault="003C6311" w:rsidP="00855045">
            <w:pPr>
              <w:spacing w:after="0" w:line="305" w:lineRule="atLeast"/>
              <w:jc w:val="both"/>
              <w:rPr>
                <w:rFonts w:ascii="Cambria" w:hAnsi="Cambria"/>
                <w:b/>
                <w:color w:val="002060"/>
              </w:rPr>
            </w:pPr>
          </w:p>
          <w:p w14:paraId="7DE23DE6" w14:textId="5B754267"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(Madde-63)</w:t>
            </w:r>
          </w:p>
        </w:tc>
        <w:tc>
          <w:tcPr>
            <w:tcW w:w="7513" w:type="dxa"/>
            <w:shd w:val="clear" w:color="auto" w:fill="FFFFFF" w:themeFill="background1"/>
            <w:vAlign w:val="center"/>
          </w:tcPr>
          <w:p w14:paraId="6B6D907F" w14:textId="1B69B48F" w:rsidR="003742F5" w:rsidRPr="007017A8"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Bir göreve ilk defa veya yeniden atananlardan belge ile is</w:t>
            </w:r>
            <w:r w:rsidR="003C6311">
              <w:rPr>
                <w:rFonts w:ascii="Cambria" w:hAnsi="Cambria"/>
              </w:rPr>
              <w:t>p</w:t>
            </w:r>
            <w:r w:rsidRPr="007017A8">
              <w:rPr>
                <w:rFonts w:ascii="Cambria" w:hAnsi="Cambria"/>
              </w:rPr>
              <w:t xml:space="preserve">atı mümkün zorlayıcı sebepler olmaksızın 62 nci maddedeki süre içinde işe başlamayanların atanmaları iptal edilir ve bunlar 1 yıl süreyle Devlet memuru olarak istihdam edilemezler. Bunların belge ile ispatı mümkün zorlayıcı sebepler nedeniyle göreve başlamama hali </w:t>
            </w:r>
            <w:r w:rsidRPr="007017A8">
              <w:rPr>
                <w:rFonts w:ascii="Cambria" w:hAnsi="Cambria"/>
                <w:b/>
                <w:color w:val="C00000"/>
              </w:rPr>
              <w:t>İKİ AYI AŞTIĞI TAKDİRDE</w:t>
            </w:r>
            <w:r w:rsidRPr="007017A8">
              <w:rPr>
                <w:rFonts w:ascii="Cambria" w:hAnsi="Cambria"/>
              </w:rPr>
              <w:t xml:space="preserve"> atama işlemi atamaya yetkili makamlarca iptal edilir. Başka yerdeki bir göreve atananlardan 62 nci maddedeki süre içinde hareket ederek belli yol süresi sonunda yeni görevlerine başlamayanlara, eski görevlerinden ayrılış ve yeni görevlerine başlayış tarihleri arasında aylık verilmemek şartı ile 10 günlük bir süre daha verilebilir. </w:t>
            </w:r>
          </w:p>
        </w:tc>
      </w:tr>
      <w:tr w:rsidR="00855045" w:rsidRPr="007017A8" w14:paraId="25170A44" w14:textId="77777777" w:rsidTr="00410221">
        <w:trPr>
          <w:trHeight w:val="231"/>
        </w:trPr>
        <w:tc>
          <w:tcPr>
            <w:tcW w:w="7083" w:type="dxa"/>
            <w:shd w:val="clear" w:color="auto" w:fill="FFFFFF" w:themeFill="background1"/>
          </w:tcPr>
          <w:p w14:paraId="506726A3" w14:textId="41E15B9A"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(Madde-104)</w:t>
            </w:r>
          </w:p>
        </w:tc>
        <w:tc>
          <w:tcPr>
            <w:tcW w:w="7513" w:type="dxa"/>
            <w:shd w:val="clear" w:color="auto" w:fill="FFFFFF" w:themeFill="background1"/>
            <w:vAlign w:val="center"/>
          </w:tcPr>
          <w:p w14:paraId="20422876" w14:textId="48DBAB14" w:rsidR="00855045" w:rsidRPr="003742F5"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Doğum sonrası analık izni süresi sonunda kadın memur, isteği hâlinde çocuğun hayatta olması kaydıyla analık izni bitiminde başlamak üzere ayrıca süt izni verilmeksizin birinci doğumda </w:t>
            </w:r>
            <w:r w:rsidRPr="007017A8">
              <w:rPr>
                <w:rFonts w:ascii="Cambria" w:hAnsi="Cambria"/>
                <w:b/>
                <w:color w:val="C00000"/>
              </w:rPr>
              <w:t>İKİ AY</w:t>
            </w:r>
            <w:r w:rsidRPr="007017A8">
              <w:rPr>
                <w:rFonts w:ascii="Cambria" w:hAnsi="Cambria"/>
              </w:rPr>
              <w:t xml:space="preserve">, ikinci doğumda </w:t>
            </w:r>
            <w:r w:rsidR="003C6311" w:rsidRPr="003742F5">
              <w:rPr>
                <w:rFonts w:ascii="Cambria" w:hAnsi="Cambria"/>
              </w:rPr>
              <w:t xml:space="preserve">dört ay, sonraki doğumlarda ise altı ay </w:t>
            </w:r>
            <w:r w:rsidRPr="003742F5">
              <w:rPr>
                <w:rFonts w:ascii="Cambria" w:hAnsi="Cambria"/>
              </w:rPr>
              <w:t xml:space="preserve">süreyle günlük çalışma süresinin yarısı kadar çalışabilir. Çoğul doğumlarda bu sürelere </w:t>
            </w:r>
            <w:r w:rsidR="003C6311" w:rsidRPr="003742F5">
              <w:rPr>
                <w:rFonts w:ascii="Cambria" w:hAnsi="Cambria"/>
              </w:rPr>
              <w:t>birer ay</w:t>
            </w:r>
            <w:r w:rsidRPr="003742F5">
              <w:rPr>
                <w:rFonts w:ascii="Cambria" w:hAnsi="Cambria"/>
              </w:rPr>
              <w:t xml:space="preserve"> ilave edilir. Çocuğun engelli doğması veya doğumdan sonraki </w:t>
            </w:r>
            <w:r w:rsidR="003C6311" w:rsidRPr="003742F5">
              <w:rPr>
                <w:rFonts w:ascii="Cambria" w:hAnsi="Cambria"/>
              </w:rPr>
              <w:t xml:space="preserve">on iki </w:t>
            </w:r>
            <w:r w:rsidR="003C6311" w:rsidRPr="003742F5">
              <w:rPr>
                <w:rFonts w:ascii="Cambria" w:hAnsi="Cambria"/>
              </w:rPr>
              <w:lastRenderedPageBreak/>
              <w:t>ay</w:t>
            </w:r>
            <w:r w:rsidRPr="003742F5">
              <w:rPr>
                <w:rFonts w:ascii="Cambria" w:hAnsi="Cambria"/>
              </w:rPr>
              <w:t xml:space="preserve"> içinde çocuğun engellilik durumunun tespiti hâllerinde bu süreler </w:t>
            </w:r>
            <w:r w:rsidR="003C6311" w:rsidRPr="003742F5">
              <w:rPr>
                <w:rFonts w:ascii="Cambria" w:hAnsi="Cambria"/>
              </w:rPr>
              <w:t xml:space="preserve">on iki ay </w:t>
            </w:r>
            <w:r w:rsidRPr="003742F5">
              <w:rPr>
                <w:rFonts w:ascii="Cambria" w:hAnsi="Cambria"/>
              </w:rPr>
              <w:t>olarak uygul</w:t>
            </w:r>
            <w:r w:rsidRPr="007017A8">
              <w:rPr>
                <w:rFonts w:ascii="Cambria" w:hAnsi="Cambria"/>
              </w:rPr>
              <w:t xml:space="preserve">anır. </w:t>
            </w:r>
          </w:p>
        </w:tc>
      </w:tr>
      <w:tr w:rsidR="00855045" w:rsidRPr="007017A8" w14:paraId="60247705" w14:textId="77777777" w:rsidTr="00410221">
        <w:trPr>
          <w:trHeight w:val="231"/>
        </w:trPr>
        <w:tc>
          <w:tcPr>
            <w:tcW w:w="7083" w:type="dxa"/>
            <w:shd w:val="clear" w:color="auto" w:fill="FFFFFF" w:themeFill="background1"/>
          </w:tcPr>
          <w:p w14:paraId="2B0B8E0C" w14:textId="62C6CA94"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lastRenderedPageBreak/>
              <w:t xml:space="preserve">657 Sayılı Devlet Memurları Kanunu </w:t>
            </w:r>
            <w:r w:rsidRPr="007017A8">
              <w:rPr>
                <w:rFonts w:ascii="Cambria" w:hAnsi="Cambria"/>
                <w:b/>
                <w:bCs/>
                <w:color w:val="002060"/>
              </w:rPr>
              <w:t>(Madde-145)</w:t>
            </w:r>
          </w:p>
        </w:tc>
        <w:tc>
          <w:tcPr>
            <w:tcW w:w="7513" w:type="dxa"/>
            <w:shd w:val="clear" w:color="auto" w:fill="FFFFFF" w:themeFill="background1"/>
            <w:vAlign w:val="center"/>
          </w:tcPr>
          <w:p w14:paraId="75553022" w14:textId="292DAC0E" w:rsidR="003742F5" w:rsidRPr="007017A8"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Bir ceza kovuşturması icabından olduğu takdirde görevinden uzaklaştırmaya yetkili amir (Müfettişlerin görevinden uzaklaştırdıkları memurlar hakkında atamaya yetkili amir) ilgilinin durumunu </w:t>
            </w:r>
            <w:r w:rsidRPr="007017A8">
              <w:rPr>
                <w:rFonts w:ascii="Cambria" w:hAnsi="Cambria"/>
                <w:b/>
                <w:color w:val="C00000"/>
              </w:rPr>
              <w:t>HER İKİ AYDA BİR</w:t>
            </w:r>
            <w:r w:rsidRPr="007017A8">
              <w:rPr>
                <w:rFonts w:ascii="Cambria" w:hAnsi="Cambria"/>
                <w:color w:val="C00000"/>
              </w:rPr>
              <w:t xml:space="preserve"> </w:t>
            </w:r>
            <w:r w:rsidRPr="007017A8">
              <w:rPr>
                <w:rFonts w:ascii="Cambria" w:hAnsi="Cambria"/>
              </w:rPr>
              <w:t>inceleyerek görevine dönüp dönmemesi hakkında bir karar verir ve ilgiliye de yazı ile tebliğ eder.</w:t>
            </w:r>
          </w:p>
        </w:tc>
      </w:tr>
      <w:tr w:rsidR="00855045" w:rsidRPr="007017A8" w14:paraId="3033EE30" w14:textId="77777777" w:rsidTr="00410221">
        <w:trPr>
          <w:trHeight w:val="231"/>
        </w:trPr>
        <w:tc>
          <w:tcPr>
            <w:tcW w:w="7083" w:type="dxa"/>
            <w:shd w:val="clear" w:color="auto" w:fill="FFFFFF" w:themeFill="background1"/>
          </w:tcPr>
          <w:p w14:paraId="65DD340B" w14:textId="75C3C128"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(Madde-180)</w:t>
            </w:r>
          </w:p>
        </w:tc>
        <w:tc>
          <w:tcPr>
            <w:tcW w:w="7513" w:type="dxa"/>
            <w:shd w:val="clear" w:color="auto" w:fill="FFFFFF" w:themeFill="background1"/>
            <w:vAlign w:val="center"/>
          </w:tcPr>
          <w:p w14:paraId="72227D75" w14:textId="74EAB4F0" w:rsidR="003742F5" w:rsidRPr="007017A8"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Sürekli görevle yurt dışına atanan memurların aylıkları görevlerine başladıkları tarihten itibaren; sürekli görevle yurt dışına gönderilen veya kurumların yurt dışı kuruluşlarına </w:t>
            </w:r>
            <w:proofErr w:type="gramStart"/>
            <w:r w:rsidRPr="007017A8">
              <w:rPr>
                <w:rFonts w:ascii="Cambria" w:hAnsi="Cambria"/>
              </w:rPr>
              <w:t>dahil</w:t>
            </w:r>
            <w:proofErr w:type="gramEnd"/>
            <w:r w:rsidRPr="007017A8">
              <w:rPr>
                <w:rFonts w:ascii="Cambria" w:hAnsi="Cambria"/>
              </w:rPr>
              <w:t xml:space="preserve"> kadrolarında görev alan memurlardan görevlerine başladıktan sonra yurt içinde veya yurt dışında başka bir göreve atananların aylıkları ise atanma emrinin tebliği tarihini izleyen onbeşinci gün sonuna kadar 156 ncı maddedeki esaslara göre ödenir. Yurt dışında bulunanlardan yerlerine atananların gelişine kadar bekleme emri alanların aylıkları, atama emirlerinin tebliğ tarihinden itibaren, </w:t>
            </w:r>
            <w:r w:rsidRPr="007017A8">
              <w:rPr>
                <w:rFonts w:ascii="Cambria" w:hAnsi="Cambria"/>
                <w:b/>
                <w:color w:val="C00000"/>
              </w:rPr>
              <w:t>İKİ AYI GEÇMEMEK ÜZERE</w:t>
            </w:r>
            <w:r w:rsidRPr="007017A8">
              <w:rPr>
                <w:rFonts w:ascii="Cambria" w:hAnsi="Cambria"/>
                <w:color w:val="C00000"/>
              </w:rPr>
              <w:t xml:space="preserve"> </w:t>
            </w:r>
            <w:r w:rsidRPr="007017A8">
              <w:rPr>
                <w:rFonts w:ascii="Cambria" w:hAnsi="Cambria"/>
              </w:rPr>
              <w:t>aynı maddeye göre ödenir.</w:t>
            </w:r>
          </w:p>
        </w:tc>
      </w:tr>
      <w:tr w:rsidR="00855045" w:rsidRPr="007017A8" w14:paraId="7CE65255" w14:textId="77777777" w:rsidTr="00410221">
        <w:trPr>
          <w:trHeight w:val="231"/>
        </w:trPr>
        <w:tc>
          <w:tcPr>
            <w:tcW w:w="7083" w:type="dxa"/>
            <w:shd w:val="clear" w:color="auto" w:fill="FFFFFF" w:themeFill="background1"/>
          </w:tcPr>
          <w:p w14:paraId="40DC871F" w14:textId="312FEC33" w:rsidR="00855045" w:rsidRPr="007017A8" w:rsidRDefault="00855045" w:rsidP="00855045">
            <w:pPr>
              <w:spacing w:after="0" w:line="305" w:lineRule="atLeast"/>
              <w:jc w:val="both"/>
              <w:rPr>
                <w:rFonts w:ascii="Cambria" w:hAnsi="Cambria"/>
                <w:b/>
                <w:color w:val="002060"/>
              </w:rPr>
            </w:pPr>
            <w:r w:rsidRPr="007017A8">
              <w:rPr>
                <w:rFonts w:ascii="Cambria" w:hAnsi="Cambria"/>
                <w:b/>
                <w:color w:val="002060"/>
              </w:rPr>
              <w:t xml:space="preserve">657 Sayılı Devlet Memurları Kanunu </w:t>
            </w:r>
            <w:r w:rsidRPr="007017A8">
              <w:rPr>
                <w:rFonts w:ascii="Cambria" w:hAnsi="Cambria"/>
                <w:b/>
                <w:bCs/>
                <w:color w:val="002060"/>
              </w:rPr>
              <w:t>(Madde</w:t>
            </w:r>
            <w:r w:rsidR="00BD300C" w:rsidRPr="007017A8">
              <w:rPr>
                <w:rFonts w:ascii="Cambria" w:hAnsi="Cambria"/>
                <w:b/>
                <w:bCs/>
                <w:color w:val="002060"/>
              </w:rPr>
              <w:t>-</w:t>
            </w:r>
            <w:r w:rsidRPr="007017A8">
              <w:rPr>
                <w:rFonts w:ascii="Cambria" w:hAnsi="Cambria"/>
                <w:b/>
                <w:bCs/>
                <w:color w:val="002060"/>
              </w:rPr>
              <w:t>225)</w:t>
            </w:r>
          </w:p>
        </w:tc>
        <w:tc>
          <w:tcPr>
            <w:tcW w:w="7513" w:type="dxa"/>
            <w:shd w:val="clear" w:color="auto" w:fill="FFFFFF" w:themeFill="background1"/>
            <w:vAlign w:val="center"/>
          </w:tcPr>
          <w:p w14:paraId="67387B7D" w14:textId="047DDF20" w:rsidR="003742F5" w:rsidRPr="003742F5" w:rsidRDefault="00855045" w:rsidP="003C6311">
            <w:pPr>
              <w:pStyle w:val="ListeParagraf"/>
              <w:numPr>
                <w:ilvl w:val="0"/>
                <w:numId w:val="18"/>
              </w:numPr>
              <w:spacing w:after="0" w:line="305" w:lineRule="atLeast"/>
              <w:jc w:val="both"/>
              <w:rPr>
                <w:rFonts w:ascii="Cambria" w:hAnsi="Cambria"/>
              </w:rPr>
            </w:pPr>
            <w:r w:rsidRPr="007017A8">
              <w:rPr>
                <w:rFonts w:ascii="Cambria" w:hAnsi="Cambria"/>
              </w:rPr>
              <w:t xml:space="preserve">Mecburi hizmetle yükümlü bulunanlar yetiştirme, eğitim veya staj sürelerinin bitiminden itibaren </w:t>
            </w:r>
            <w:r w:rsidRPr="007017A8">
              <w:rPr>
                <w:rFonts w:ascii="Cambria" w:hAnsi="Cambria"/>
                <w:b/>
                <w:color w:val="C00000"/>
              </w:rPr>
              <w:t>EN ÇOK İKİ AY İÇİNDE</w:t>
            </w:r>
            <w:r w:rsidRPr="007017A8">
              <w:rPr>
                <w:rFonts w:ascii="Cambria" w:hAnsi="Cambria"/>
                <w:color w:val="C00000"/>
              </w:rPr>
              <w:t xml:space="preserve"> </w:t>
            </w:r>
            <w:r w:rsidRPr="007017A8">
              <w:rPr>
                <w:rFonts w:ascii="Cambria" w:hAnsi="Cambria"/>
              </w:rPr>
              <w:t>kurumlarına başvurmak zorundadırlar.</w:t>
            </w:r>
          </w:p>
        </w:tc>
      </w:tr>
      <w:tr w:rsidR="00DE15E6" w:rsidRPr="007017A8" w14:paraId="317EF66C" w14:textId="77777777" w:rsidTr="00410221">
        <w:trPr>
          <w:trHeight w:val="231"/>
        </w:trPr>
        <w:tc>
          <w:tcPr>
            <w:tcW w:w="7083" w:type="dxa"/>
            <w:shd w:val="clear" w:color="auto" w:fill="FFFFFF" w:themeFill="background1"/>
          </w:tcPr>
          <w:p w14:paraId="56105C9E" w14:textId="329EC2D3" w:rsidR="00DE15E6" w:rsidRPr="007017A8" w:rsidRDefault="00DE15E6" w:rsidP="00DE15E6">
            <w:pPr>
              <w:spacing w:after="0" w:line="305" w:lineRule="atLeast"/>
              <w:jc w:val="both"/>
              <w:rPr>
                <w:rFonts w:ascii="Cambria" w:hAnsi="Cambria"/>
                <w:b/>
                <w:color w:val="002060"/>
              </w:rPr>
            </w:pPr>
            <w:r w:rsidRPr="007017A8">
              <w:rPr>
                <w:rFonts w:ascii="Cambria" w:hAnsi="Cambria"/>
                <w:b/>
                <w:bCs/>
                <w:color w:val="002060"/>
              </w:rPr>
              <w:t>5018 Sayılı Kamu Mali Yönetimi ve Kontrol Kanunu (Madde-51)</w:t>
            </w:r>
          </w:p>
        </w:tc>
        <w:tc>
          <w:tcPr>
            <w:tcW w:w="7513" w:type="dxa"/>
            <w:shd w:val="clear" w:color="auto" w:fill="FFFFFF" w:themeFill="background1"/>
            <w:vAlign w:val="center"/>
          </w:tcPr>
          <w:p w14:paraId="4CBE097E" w14:textId="32860DA0" w:rsidR="003742F5" w:rsidRPr="007017A8" w:rsidRDefault="00DE15E6" w:rsidP="003C6311">
            <w:pPr>
              <w:pStyle w:val="ListeParagraf"/>
              <w:numPr>
                <w:ilvl w:val="0"/>
                <w:numId w:val="18"/>
              </w:numPr>
              <w:spacing w:after="0" w:line="305" w:lineRule="atLeast"/>
              <w:jc w:val="both"/>
              <w:rPr>
                <w:rFonts w:ascii="Cambria" w:hAnsi="Cambria"/>
              </w:rPr>
            </w:pPr>
            <w:r w:rsidRPr="007017A8">
              <w:rPr>
                <w:rFonts w:ascii="Cambria" w:hAnsi="Cambria"/>
              </w:rPr>
              <w:t xml:space="preserve">Malî yılın bitimine kadar fiilen yapılmış olan ödemelerden mahsup edilememiş olanların, ödenekleri saklı tutulmak suretiyle, mahsup işlemleri </w:t>
            </w:r>
            <w:r w:rsidR="003C6311" w:rsidRPr="003742F5">
              <w:rPr>
                <w:rFonts w:ascii="Cambria" w:hAnsi="Cambria"/>
              </w:rPr>
              <w:t>malî yılın bitimini izleyen bir ay içinde yapılabilir</w:t>
            </w:r>
            <w:r w:rsidRPr="003742F5">
              <w:rPr>
                <w:rFonts w:ascii="Cambria" w:hAnsi="Cambria"/>
              </w:rPr>
              <w:t xml:space="preserve">. Zorunlu hallerde bu süre, Hazine ve Maliye Bakanlığı tarafından bütçe giderleri için </w:t>
            </w:r>
            <w:r w:rsidR="003C6311" w:rsidRPr="003742F5">
              <w:rPr>
                <w:rFonts w:ascii="Cambria" w:hAnsi="Cambria"/>
              </w:rPr>
              <w:t>bir ay</w:t>
            </w:r>
            <w:r w:rsidRPr="003742F5">
              <w:rPr>
                <w:rFonts w:ascii="Cambria" w:hAnsi="Cambria"/>
              </w:rPr>
              <w:t xml:space="preserve">, diğer </w:t>
            </w:r>
            <w:r w:rsidRPr="007017A8">
              <w:rPr>
                <w:rFonts w:ascii="Cambria" w:hAnsi="Cambria"/>
              </w:rPr>
              <w:t xml:space="preserve">işlemlerde </w:t>
            </w:r>
            <w:r w:rsidRPr="007017A8">
              <w:rPr>
                <w:rFonts w:ascii="Cambria" w:hAnsi="Cambria"/>
                <w:b/>
                <w:color w:val="C00000"/>
              </w:rPr>
              <w:t>İKİ AYI GEÇMEMEK ÜZERE</w:t>
            </w:r>
            <w:r w:rsidRPr="007017A8">
              <w:rPr>
                <w:rFonts w:ascii="Cambria" w:hAnsi="Cambria"/>
                <w:color w:val="C00000"/>
              </w:rPr>
              <w:t xml:space="preserve"> </w:t>
            </w:r>
            <w:r w:rsidRPr="007017A8">
              <w:rPr>
                <w:rFonts w:ascii="Cambria" w:hAnsi="Cambria"/>
              </w:rPr>
              <w:t>uzatılabilir.</w:t>
            </w:r>
          </w:p>
        </w:tc>
      </w:tr>
      <w:tr w:rsidR="00DE15E6" w:rsidRPr="007017A8" w14:paraId="02CBBC5F" w14:textId="77777777" w:rsidTr="00410221">
        <w:trPr>
          <w:trHeight w:val="231"/>
        </w:trPr>
        <w:tc>
          <w:tcPr>
            <w:tcW w:w="7083" w:type="dxa"/>
            <w:shd w:val="clear" w:color="auto" w:fill="FFFFFF" w:themeFill="background1"/>
          </w:tcPr>
          <w:p w14:paraId="58F7EBC6" w14:textId="54D0C7BD" w:rsidR="00DE15E6" w:rsidRPr="007017A8" w:rsidRDefault="00DE15E6" w:rsidP="00DE15E6">
            <w:pPr>
              <w:spacing w:after="0" w:line="305" w:lineRule="atLeast"/>
              <w:jc w:val="both"/>
              <w:rPr>
                <w:rFonts w:ascii="Cambria" w:hAnsi="Cambria"/>
                <w:b/>
                <w:bCs/>
                <w:color w:val="002060"/>
              </w:rPr>
            </w:pPr>
            <w:r w:rsidRPr="007017A8">
              <w:rPr>
                <w:rFonts w:ascii="Cambria" w:hAnsi="Cambria"/>
                <w:b/>
                <w:bCs/>
                <w:color w:val="002060"/>
              </w:rPr>
              <w:t>5018 Sayılı Kamu Mali Yönetimi ve Kontrol Kanunu (Madde-64)</w:t>
            </w:r>
          </w:p>
        </w:tc>
        <w:tc>
          <w:tcPr>
            <w:tcW w:w="7513" w:type="dxa"/>
            <w:shd w:val="clear" w:color="auto" w:fill="FFFFFF" w:themeFill="background1"/>
            <w:vAlign w:val="center"/>
          </w:tcPr>
          <w:p w14:paraId="7E99DEE6" w14:textId="77777777" w:rsidR="00DE15E6" w:rsidRDefault="00DE15E6" w:rsidP="00DE15E6">
            <w:pPr>
              <w:pStyle w:val="ListeParagraf"/>
              <w:numPr>
                <w:ilvl w:val="0"/>
                <w:numId w:val="18"/>
              </w:numPr>
              <w:spacing w:after="0" w:line="305" w:lineRule="atLeast"/>
              <w:jc w:val="both"/>
              <w:rPr>
                <w:rFonts w:ascii="Cambria" w:hAnsi="Cambria"/>
              </w:rPr>
            </w:pPr>
            <w:r w:rsidRPr="007017A8">
              <w:rPr>
                <w:rFonts w:ascii="Cambria" w:hAnsi="Cambria"/>
              </w:rPr>
              <w:t xml:space="preserve">İç denetim raporları ile bunlar üzerine yapılan işlemler, üst yönetici tarafından </w:t>
            </w:r>
            <w:r w:rsidRPr="007017A8">
              <w:rPr>
                <w:rFonts w:ascii="Cambria" w:hAnsi="Cambria"/>
                <w:b/>
                <w:color w:val="C00000"/>
              </w:rPr>
              <w:t>EN GEÇ İKİ AY İÇİNDE</w:t>
            </w:r>
            <w:r w:rsidRPr="007017A8">
              <w:rPr>
                <w:rFonts w:ascii="Cambria" w:hAnsi="Cambria"/>
                <w:color w:val="C00000"/>
              </w:rPr>
              <w:t xml:space="preserve"> </w:t>
            </w:r>
            <w:r w:rsidRPr="007017A8">
              <w:rPr>
                <w:rFonts w:ascii="Cambria" w:hAnsi="Cambria"/>
              </w:rPr>
              <w:t>İç Denetim Koordinasyon Kuruluna gönderilir.</w:t>
            </w:r>
          </w:p>
          <w:p w14:paraId="3A1CED63" w14:textId="72533EB7" w:rsidR="003742F5" w:rsidRPr="007017A8" w:rsidRDefault="003742F5" w:rsidP="003742F5">
            <w:pPr>
              <w:pStyle w:val="ListeParagraf"/>
              <w:spacing w:after="0" w:line="305" w:lineRule="atLeast"/>
              <w:jc w:val="both"/>
              <w:rPr>
                <w:rFonts w:ascii="Cambria" w:hAnsi="Cambria"/>
              </w:rPr>
            </w:pPr>
          </w:p>
        </w:tc>
      </w:tr>
      <w:tr w:rsidR="00DE15E6" w:rsidRPr="007017A8" w14:paraId="79D8ED71" w14:textId="77777777" w:rsidTr="00410221">
        <w:trPr>
          <w:trHeight w:val="231"/>
        </w:trPr>
        <w:tc>
          <w:tcPr>
            <w:tcW w:w="7083" w:type="dxa"/>
            <w:shd w:val="clear" w:color="auto" w:fill="FFFFFF" w:themeFill="background1"/>
          </w:tcPr>
          <w:p w14:paraId="4AEBC1D4" w14:textId="09DE064D" w:rsidR="00DE15E6" w:rsidRPr="007017A8" w:rsidRDefault="00DE15E6" w:rsidP="00DE15E6">
            <w:pPr>
              <w:spacing w:after="0" w:line="305" w:lineRule="atLeast"/>
              <w:jc w:val="both"/>
              <w:rPr>
                <w:rFonts w:ascii="Cambria" w:hAnsi="Cambria"/>
                <w:b/>
                <w:bCs/>
                <w:color w:val="002060"/>
              </w:rPr>
            </w:pPr>
            <w:r w:rsidRPr="007017A8">
              <w:rPr>
                <w:rFonts w:ascii="Cambria" w:hAnsi="Cambria"/>
                <w:b/>
                <w:color w:val="002060"/>
              </w:rPr>
              <w:lastRenderedPageBreak/>
              <w:t xml:space="preserve">4982 Sayılı Bilgi Edinme Hakkı Kanunu </w:t>
            </w:r>
            <w:r w:rsidRPr="007017A8">
              <w:rPr>
                <w:rFonts w:ascii="Cambria" w:hAnsi="Cambria"/>
                <w:b/>
                <w:bCs/>
                <w:color w:val="002060"/>
              </w:rPr>
              <w:t>(Madde-30)</w:t>
            </w:r>
          </w:p>
        </w:tc>
        <w:tc>
          <w:tcPr>
            <w:tcW w:w="7513" w:type="dxa"/>
            <w:shd w:val="clear" w:color="auto" w:fill="FFFFFF" w:themeFill="background1"/>
            <w:vAlign w:val="center"/>
          </w:tcPr>
          <w:p w14:paraId="5177BEA0" w14:textId="62A18087" w:rsidR="003742F5" w:rsidRPr="007017A8" w:rsidRDefault="00DE15E6" w:rsidP="003C6311">
            <w:pPr>
              <w:pStyle w:val="ListeParagraf"/>
              <w:numPr>
                <w:ilvl w:val="0"/>
                <w:numId w:val="18"/>
              </w:numPr>
              <w:spacing w:after="0" w:line="305" w:lineRule="atLeast"/>
              <w:jc w:val="both"/>
              <w:rPr>
                <w:rFonts w:ascii="Cambria" w:hAnsi="Cambria"/>
              </w:rPr>
            </w:pPr>
            <w:r w:rsidRPr="007017A8">
              <w:rPr>
                <w:rFonts w:ascii="Cambria" w:hAnsi="Cambria"/>
              </w:rPr>
              <w:t xml:space="preserve">Başvurunun reddedilmesi üzerine itiraz edilen başvuru sayısı ile bunların sonuçlarını, Gösterir bir rapor hazırlayarak, bu raporları her yıl şubat ayının sonuna kadar bilgi edinme değerlendirme kuruluna gönderirler. 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w:t>
            </w:r>
            <w:r w:rsidRPr="007017A8">
              <w:rPr>
                <w:rFonts w:ascii="Cambria" w:hAnsi="Cambria"/>
                <w:b/>
                <w:color w:val="C00000"/>
              </w:rPr>
              <w:t>TAKİP EDEN İKİ AY İÇİNDE</w:t>
            </w:r>
            <w:r w:rsidRPr="007017A8">
              <w:rPr>
                <w:rFonts w:ascii="Cambria" w:hAnsi="Cambria"/>
                <w:color w:val="C00000"/>
              </w:rPr>
              <w:t xml:space="preserve"> </w:t>
            </w:r>
            <w:r w:rsidRPr="007017A8">
              <w:rPr>
                <w:rFonts w:ascii="Cambria" w:hAnsi="Cambria"/>
              </w:rPr>
              <w:t>Türkiye Büyük Millet Meclisi Başkanlığınca kamuoyuna açıklanır.</w:t>
            </w:r>
          </w:p>
        </w:tc>
      </w:tr>
      <w:tr w:rsidR="00DE15E6" w:rsidRPr="007017A8" w14:paraId="316CF8A2" w14:textId="77777777" w:rsidTr="00410221">
        <w:trPr>
          <w:trHeight w:val="231"/>
        </w:trPr>
        <w:tc>
          <w:tcPr>
            <w:tcW w:w="7083" w:type="dxa"/>
            <w:shd w:val="clear" w:color="auto" w:fill="FFFFFF" w:themeFill="background1"/>
          </w:tcPr>
          <w:p w14:paraId="3F1767CD" w14:textId="66C58239" w:rsidR="00DE15E6" w:rsidRPr="007017A8" w:rsidRDefault="00DE15E6" w:rsidP="00DE15E6">
            <w:pPr>
              <w:spacing w:after="0" w:line="305" w:lineRule="atLeast"/>
              <w:jc w:val="both"/>
              <w:rPr>
                <w:rFonts w:ascii="Cambria" w:hAnsi="Cambria"/>
                <w:b/>
                <w:bCs/>
                <w:color w:val="002060"/>
              </w:rPr>
            </w:pPr>
            <w:r w:rsidRPr="007017A8">
              <w:rPr>
                <w:rFonts w:ascii="Cambria" w:hAnsi="Cambria"/>
                <w:b/>
                <w:bCs/>
                <w:color w:val="002060"/>
              </w:rPr>
              <w:t>3628 sayılı Mal Bildiriminde Bulunulması, Rüşvet ve Yolsuzluklara Mücadele Kanun (Madde-6)</w:t>
            </w:r>
          </w:p>
          <w:p w14:paraId="76B319BE" w14:textId="578F8650" w:rsidR="00DE15E6" w:rsidRPr="007017A8" w:rsidRDefault="00DE15E6" w:rsidP="00DE15E6">
            <w:pPr>
              <w:spacing w:after="0" w:line="305" w:lineRule="atLeast"/>
              <w:jc w:val="both"/>
              <w:rPr>
                <w:rFonts w:ascii="Cambria" w:hAnsi="Cambria"/>
                <w:b/>
                <w:color w:val="002060"/>
              </w:rPr>
            </w:pPr>
          </w:p>
        </w:tc>
        <w:tc>
          <w:tcPr>
            <w:tcW w:w="7513" w:type="dxa"/>
            <w:shd w:val="clear" w:color="auto" w:fill="FFFFFF" w:themeFill="background1"/>
            <w:vAlign w:val="center"/>
          </w:tcPr>
          <w:p w14:paraId="4FEF7BCB" w14:textId="4A4E0924" w:rsidR="00241516" w:rsidRPr="003C6311" w:rsidRDefault="003C6311" w:rsidP="003C6311">
            <w:pPr>
              <w:pStyle w:val="ListeParagraf"/>
              <w:numPr>
                <w:ilvl w:val="0"/>
                <w:numId w:val="27"/>
              </w:numPr>
              <w:spacing w:after="0" w:line="305" w:lineRule="atLeast"/>
              <w:jc w:val="both"/>
              <w:rPr>
                <w:rFonts w:ascii="Cambria" w:hAnsi="Cambria"/>
              </w:rPr>
            </w:pPr>
            <w:r>
              <w:rPr>
                <w:rFonts w:ascii="Cambria" w:hAnsi="Cambria"/>
              </w:rPr>
              <w:t>Mal Bildirimlerinin s</w:t>
            </w:r>
            <w:r w:rsidR="00DE15E6" w:rsidRPr="003C6311">
              <w:rPr>
                <w:rFonts w:ascii="Cambria" w:hAnsi="Cambria"/>
              </w:rPr>
              <w:t xml:space="preserve">eçimle gelinen görevlerde </w:t>
            </w:r>
            <w:r w:rsidR="00DE15E6" w:rsidRPr="003C6311">
              <w:rPr>
                <w:rFonts w:ascii="Cambria" w:hAnsi="Cambria"/>
                <w:b/>
                <w:color w:val="C00000"/>
              </w:rPr>
              <w:t xml:space="preserve">SEÇİMİN KESİNLEŞMESİ </w:t>
            </w:r>
            <w:r w:rsidRPr="003C6311">
              <w:rPr>
                <w:rFonts w:ascii="Cambria" w:hAnsi="Cambria"/>
                <w:b/>
                <w:color w:val="C00000"/>
              </w:rPr>
              <w:t xml:space="preserve">TARİHİNİ İZLEYEN İKİ AY İÇİNDE </w:t>
            </w:r>
            <w:r w:rsidRPr="003C6311">
              <w:rPr>
                <w:rFonts w:ascii="Cambria" w:hAnsi="Cambria"/>
                <w:color w:val="000000" w:themeColor="text1"/>
              </w:rPr>
              <w:t>v</w:t>
            </w:r>
            <w:r w:rsidR="00DE15E6" w:rsidRPr="003C6311">
              <w:rPr>
                <w:rFonts w:ascii="Cambria" w:hAnsi="Cambria"/>
                <w:color w:val="000000" w:themeColor="text1"/>
              </w:rPr>
              <w:t>erilmesi zorunludur</w:t>
            </w:r>
            <w:r w:rsidR="00241516" w:rsidRPr="003C6311">
              <w:rPr>
                <w:rFonts w:ascii="Cambria" w:hAnsi="Cambria"/>
              </w:rPr>
              <w:t>.</w:t>
            </w:r>
          </w:p>
        </w:tc>
      </w:tr>
      <w:tr w:rsidR="00DE15E6" w:rsidRPr="007017A8" w14:paraId="1F25F7A4" w14:textId="77777777" w:rsidTr="00410221">
        <w:trPr>
          <w:trHeight w:val="231"/>
        </w:trPr>
        <w:tc>
          <w:tcPr>
            <w:tcW w:w="7083" w:type="dxa"/>
            <w:shd w:val="clear" w:color="auto" w:fill="FFFFFF" w:themeFill="background1"/>
          </w:tcPr>
          <w:p w14:paraId="27CBD074" w14:textId="77777777" w:rsidR="00DE15E6" w:rsidRPr="007017A8" w:rsidRDefault="00DE15E6" w:rsidP="00DE15E6">
            <w:pPr>
              <w:spacing w:after="0" w:line="305" w:lineRule="atLeast"/>
              <w:jc w:val="both"/>
              <w:rPr>
                <w:rFonts w:ascii="Cambria" w:hAnsi="Cambria"/>
                <w:b/>
                <w:color w:val="002060"/>
              </w:rPr>
            </w:pPr>
            <w:r w:rsidRPr="007017A8">
              <w:rPr>
                <w:rFonts w:ascii="Cambria" w:hAnsi="Cambria"/>
                <w:b/>
                <w:color w:val="002060"/>
              </w:rPr>
              <w:t>Öğretim Üyeliğine Yükseltilme ve Atanma Yönetmeliği</w:t>
            </w:r>
          </w:p>
          <w:p w14:paraId="5B89D22B" w14:textId="267313D0" w:rsidR="00DE15E6" w:rsidRPr="007017A8" w:rsidRDefault="00DE15E6" w:rsidP="00DE15E6">
            <w:pPr>
              <w:spacing w:after="0" w:line="305" w:lineRule="atLeast"/>
              <w:jc w:val="both"/>
              <w:rPr>
                <w:rFonts w:ascii="Cambria" w:hAnsi="Cambria"/>
                <w:b/>
                <w:color w:val="002060"/>
              </w:rPr>
            </w:pPr>
            <w:r w:rsidRPr="007017A8">
              <w:rPr>
                <w:rFonts w:ascii="Cambria" w:hAnsi="Cambria"/>
                <w:b/>
                <w:color w:val="002060"/>
              </w:rPr>
              <w:t xml:space="preserve"> </w:t>
            </w:r>
            <w:r w:rsidRPr="007017A8">
              <w:rPr>
                <w:rFonts w:ascii="Cambria" w:hAnsi="Cambria"/>
                <w:b/>
                <w:bCs/>
                <w:color w:val="002060"/>
              </w:rPr>
              <w:t>(Madde-15)</w:t>
            </w:r>
          </w:p>
        </w:tc>
        <w:tc>
          <w:tcPr>
            <w:tcW w:w="7513" w:type="dxa"/>
            <w:shd w:val="clear" w:color="auto" w:fill="FFFFFF" w:themeFill="background1"/>
            <w:vAlign w:val="center"/>
          </w:tcPr>
          <w:p w14:paraId="767245EB" w14:textId="77777777" w:rsidR="00DE15E6" w:rsidRPr="007017A8" w:rsidRDefault="00DE15E6" w:rsidP="00DE15E6">
            <w:pPr>
              <w:pStyle w:val="ListeParagraf"/>
              <w:numPr>
                <w:ilvl w:val="0"/>
                <w:numId w:val="20"/>
              </w:numPr>
              <w:spacing w:after="0" w:line="305" w:lineRule="atLeast"/>
              <w:jc w:val="both"/>
              <w:rPr>
                <w:rFonts w:ascii="Cambria" w:hAnsi="Cambria"/>
              </w:rPr>
            </w:pPr>
            <w:r w:rsidRPr="007017A8">
              <w:rPr>
                <w:rFonts w:ascii="Cambria" w:hAnsi="Cambria"/>
              </w:rPr>
              <w:t xml:space="preserve">Profesörlük kadrosuna başvuran adayların durumlarını ve bilimsel veya sanatsal niteliklerini tespit etmek için üniversite veya yüksek teknoloji enstitüsü yönetim kurulunca, en az üçü başka üniversite veya yüksek teknoloji enstitüsünden olmak üzere ilan edilen kadronun bilim veya sanat alanı ile ilgili en az beş profesör, ilana son başvuru tarihinden itibaren bir ay içinde seçilir. Bu profesörler belgelerin kendilerine verildiği tarihi izleyen </w:t>
            </w:r>
            <w:r w:rsidRPr="007017A8">
              <w:rPr>
                <w:rFonts w:ascii="Cambria" w:hAnsi="Cambria"/>
                <w:b/>
                <w:color w:val="C00000"/>
              </w:rPr>
              <w:t>İKİ AY İÇİNDE</w:t>
            </w:r>
            <w:r w:rsidRPr="007017A8">
              <w:rPr>
                <w:rFonts w:ascii="Cambria" w:hAnsi="Cambria"/>
              </w:rPr>
              <w:t xml:space="preserve"> her aday için ayrı ayrı olmak üzere birer rapor hazırlar ve kadroya atanmak üzere müracaat eden birden fazla aday varsa tercihlerini bildirir. </w:t>
            </w:r>
          </w:p>
          <w:p w14:paraId="5150ADBC" w14:textId="50304AED" w:rsidR="00241516" w:rsidRPr="007017A8" w:rsidRDefault="00DE15E6" w:rsidP="003C6311">
            <w:pPr>
              <w:pStyle w:val="ListeParagraf"/>
              <w:numPr>
                <w:ilvl w:val="0"/>
                <w:numId w:val="20"/>
              </w:numPr>
              <w:spacing w:after="0" w:line="305" w:lineRule="atLeast"/>
              <w:jc w:val="both"/>
              <w:rPr>
                <w:rFonts w:ascii="Cambria" w:hAnsi="Cambria"/>
              </w:rPr>
            </w:pPr>
            <w:r w:rsidRPr="007017A8">
              <w:rPr>
                <w:rFonts w:ascii="Cambria" w:hAnsi="Cambria"/>
              </w:rPr>
              <w:t xml:space="preserve">Dosya inceleme raporlarının </w:t>
            </w:r>
            <w:r w:rsidRPr="007017A8">
              <w:rPr>
                <w:rFonts w:ascii="Cambria" w:hAnsi="Cambria"/>
                <w:b/>
                <w:color w:val="C00000"/>
              </w:rPr>
              <w:t>İKİ AY İÇİNDE</w:t>
            </w:r>
            <w:r w:rsidRPr="007017A8">
              <w:rPr>
                <w:rFonts w:ascii="Cambria" w:hAnsi="Cambria"/>
              </w:rPr>
              <w:t xml:space="preserve"> gelmemesi halinde aynı usulle tespit edilen başka profesörlere dosyalar incelenmesi için gönderilir.</w:t>
            </w:r>
            <w:bookmarkStart w:id="0" w:name="_GoBack"/>
            <w:bookmarkEnd w:id="0"/>
          </w:p>
        </w:tc>
      </w:tr>
      <w:tr w:rsidR="00DE15E6" w:rsidRPr="007017A8" w14:paraId="4BFEC3FF" w14:textId="77777777" w:rsidTr="00410221">
        <w:trPr>
          <w:trHeight w:val="231"/>
        </w:trPr>
        <w:tc>
          <w:tcPr>
            <w:tcW w:w="7083" w:type="dxa"/>
            <w:shd w:val="clear" w:color="auto" w:fill="FFFFFF" w:themeFill="background1"/>
          </w:tcPr>
          <w:p w14:paraId="31140F40" w14:textId="18E4EE72" w:rsidR="00DE15E6" w:rsidRPr="007017A8" w:rsidRDefault="00DE15E6" w:rsidP="00DE15E6">
            <w:pPr>
              <w:spacing w:after="0" w:line="305" w:lineRule="atLeast"/>
              <w:jc w:val="both"/>
              <w:rPr>
                <w:rFonts w:ascii="Cambria" w:hAnsi="Cambria"/>
                <w:b/>
                <w:bCs/>
                <w:color w:val="002060"/>
              </w:rPr>
            </w:pPr>
            <w:r w:rsidRPr="007017A8">
              <w:rPr>
                <w:rFonts w:ascii="Cambria" w:hAnsi="Cambria"/>
                <w:b/>
                <w:color w:val="002060"/>
              </w:rPr>
              <w:t xml:space="preserve">Bilgi Edinme Hakkı Kanununun Uygulanmasına İlişkin Esas Ve Usuller Hakkında Yönetmelik </w:t>
            </w:r>
            <w:r w:rsidRPr="007017A8">
              <w:rPr>
                <w:rFonts w:ascii="Cambria" w:hAnsi="Cambria"/>
                <w:b/>
                <w:bCs/>
                <w:color w:val="002060"/>
              </w:rPr>
              <w:t>(Madde-44)</w:t>
            </w:r>
          </w:p>
        </w:tc>
        <w:tc>
          <w:tcPr>
            <w:tcW w:w="7513" w:type="dxa"/>
            <w:shd w:val="clear" w:color="auto" w:fill="FFFFFF" w:themeFill="background1"/>
            <w:vAlign w:val="center"/>
          </w:tcPr>
          <w:p w14:paraId="6999CA9C" w14:textId="44ABB27F" w:rsidR="00241516" w:rsidRPr="007017A8" w:rsidRDefault="00DE15E6" w:rsidP="003C6311">
            <w:pPr>
              <w:pStyle w:val="ListeParagraf"/>
              <w:numPr>
                <w:ilvl w:val="0"/>
                <w:numId w:val="20"/>
              </w:numPr>
              <w:spacing w:after="0" w:line="305" w:lineRule="atLeast"/>
              <w:jc w:val="both"/>
              <w:rPr>
                <w:rFonts w:ascii="Cambria" w:hAnsi="Cambria"/>
                <w:color w:val="000000" w:themeColor="text1"/>
              </w:rPr>
            </w:pPr>
            <w:r w:rsidRPr="007017A8">
              <w:rPr>
                <w:rFonts w:ascii="Cambria" w:hAnsi="Cambria"/>
              </w:rPr>
              <w:t xml:space="preserve">Başvurunun reddedilmesi üzerine itiraz edilen başvuru sayısı ile bunların sonuçlarını, gösterir bir rapor hazırlayarak, bu raporları her </w:t>
            </w:r>
            <w:r w:rsidRPr="007017A8">
              <w:rPr>
                <w:rFonts w:ascii="Cambria" w:hAnsi="Cambria"/>
              </w:rPr>
              <w:lastRenderedPageBreak/>
              <w:t xml:space="preserve">yıl şubat ayının sonuna kadar bilgi edinme değerlendirme kuruluna gönderirler. Bu raporlar, bilgi edinme birimlerinin koordinasyonunda hazırlanır. Bağlı, ilgili ve ilişkili kamu kurum ve kuruluşları raporlarını bağlı, ilgili ya da ilişkili oldukları bakanlık vasıtasıyla iletirler. Kurul, hazırlayacağı genel raporu, söz konusu kurum ve kuruluşların raporları ile birlikte her yıl nisan ayının sonuna kadar Türkiye Büyük Millet Meclisine gönderir. Bu raporlar takip eden </w:t>
            </w:r>
            <w:r w:rsidRPr="007017A8">
              <w:rPr>
                <w:rFonts w:ascii="Cambria" w:hAnsi="Cambria"/>
                <w:b/>
                <w:color w:val="C00000"/>
              </w:rPr>
              <w:t xml:space="preserve">İKİ AY İÇİNDE </w:t>
            </w:r>
            <w:r w:rsidRPr="007017A8">
              <w:rPr>
                <w:rFonts w:ascii="Cambria" w:hAnsi="Cambria"/>
              </w:rPr>
              <w:t>Türkiye Büyük Millet Meclisi Başkanlığınca kamuoyuna açıklanır.</w:t>
            </w:r>
          </w:p>
        </w:tc>
      </w:tr>
      <w:tr w:rsidR="00DE15E6" w:rsidRPr="007017A8" w14:paraId="0DA1752D" w14:textId="77777777" w:rsidTr="00410221">
        <w:trPr>
          <w:trHeight w:val="231"/>
        </w:trPr>
        <w:tc>
          <w:tcPr>
            <w:tcW w:w="7083" w:type="dxa"/>
            <w:shd w:val="clear" w:color="auto" w:fill="FFFFFF" w:themeFill="background1"/>
          </w:tcPr>
          <w:p w14:paraId="748D621F" w14:textId="312B441A" w:rsidR="00DE15E6" w:rsidRPr="007017A8" w:rsidRDefault="00DE15E6" w:rsidP="00DE15E6">
            <w:pPr>
              <w:spacing w:after="0" w:line="305" w:lineRule="atLeast"/>
              <w:jc w:val="both"/>
              <w:rPr>
                <w:rFonts w:ascii="Cambria" w:hAnsi="Cambria"/>
                <w:b/>
                <w:bCs/>
                <w:color w:val="002060"/>
              </w:rPr>
            </w:pPr>
            <w:r w:rsidRPr="007017A8">
              <w:rPr>
                <w:rFonts w:ascii="Cambria" w:hAnsi="Cambria"/>
                <w:b/>
                <w:color w:val="002060"/>
              </w:rPr>
              <w:lastRenderedPageBreak/>
              <w:t xml:space="preserve">Yükseköğretim Üst Kuruluşları İle --- </w:t>
            </w:r>
            <w:proofErr w:type="spellStart"/>
            <w:r w:rsidRPr="007017A8">
              <w:rPr>
                <w:rFonts w:ascii="Cambria" w:hAnsi="Cambria"/>
                <w:b/>
                <w:color w:val="002060"/>
              </w:rPr>
              <w:t>Gyud</w:t>
            </w:r>
            <w:proofErr w:type="spellEnd"/>
            <w:r w:rsidRPr="007017A8">
              <w:rPr>
                <w:rFonts w:ascii="Cambria" w:hAnsi="Cambria"/>
                <w:b/>
                <w:color w:val="002060"/>
              </w:rPr>
              <w:t xml:space="preserve"> Yönetmeliği </w:t>
            </w:r>
            <w:r w:rsidRPr="007017A8">
              <w:rPr>
                <w:rFonts w:ascii="Cambria" w:hAnsi="Cambria"/>
                <w:b/>
                <w:bCs/>
                <w:color w:val="002060"/>
              </w:rPr>
              <w:t>(Madde-11)</w:t>
            </w:r>
          </w:p>
        </w:tc>
        <w:tc>
          <w:tcPr>
            <w:tcW w:w="7513" w:type="dxa"/>
            <w:shd w:val="clear" w:color="auto" w:fill="FFFFFF" w:themeFill="background1"/>
            <w:vAlign w:val="center"/>
          </w:tcPr>
          <w:p w14:paraId="6EFA266F" w14:textId="3C3FB5D1" w:rsidR="00241516" w:rsidRPr="007017A8" w:rsidRDefault="00DE15E6" w:rsidP="003C6311">
            <w:pPr>
              <w:pStyle w:val="ListeParagraf"/>
              <w:numPr>
                <w:ilvl w:val="0"/>
                <w:numId w:val="20"/>
              </w:numPr>
              <w:spacing w:after="0" w:line="305" w:lineRule="atLeast"/>
              <w:jc w:val="both"/>
              <w:rPr>
                <w:rFonts w:ascii="Cambria" w:hAnsi="Cambria"/>
                <w:color w:val="000000" w:themeColor="text1"/>
              </w:rPr>
            </w:pPr>
            <w:r w:rsidRPr="007017A8">
              <w:rPr>
                <w:rFonts w:ascii="Cambria" w:hAnsi="Cambria"/>
              </w:rPr>
              <w:t xml:space="preserve">Yazılı sınavın kurumlar tarafından müstakil olarak yapılması durumunda, duyuru birinci fıkra hükümlerine göre kurumların resmi internet sitesinden ve yazılı sınavlardan </w:t>
            </w:r>
            <w:r w:rsidRPr="007017A8">
              <w:rPr>
                <w:rFonts w:ascii="Cambria" w:hAnsi="Cambria"/>
                <w:b/>
                <w:color w:val="C00000"/>
              </w:rPr>
              <w:t xml:space="preserve">EN AZ İKİ AY ÖNCE </w:t>
            </w:r>
            <w:r w:rsidRPr="007017A8">
              <w:rPr>
                <w:rFonts w:ascii="Cambria" w:hAnsi="Cambria"/>
              </w:rPr>
              <w:t>yapılır. Başvurular ve itirazlara ilişkin hususlarda ikinci ve dördüncü fıkra hükümleri uygulanır.</w:t>
            </w:r>
          </w:p>
        </w:tc>
      </w:tr>
    </w:tbl>
    <w:p w14:paraId="1EA3C34D" w14:textId="2825D8DE" w:rsidR="000C3B7E" w:rsidRPr="007017A8" w:rsidRDefault="000C3B7E" w:rsidP="00E33DDB">
      <w:pPr>
        <w:spacing w:after="0" w:line="259" w:lineRule="auto"/>
        <w:ind w:right="993"/>
        <w:jc w:val="both"/>
        <w:rPr>
          <w:rFonts w:ascii="Cambria" w:hAnsi="Cambria"/>
          <w:b/>
          <w:bCs/>
          <w:color w:val="002060"/>
        </w:rPr>
      </w:pPr>
    </w:p>
    <w:sectPr w:rsidR="000C3B7E" w:rsidRPr="007017A8"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DD13E" w14:textId="77777777" w:rsidR="00AC0963" w:rsidRDefault="00AC0963" w:rsidP="00534F7F">
      <w:pPr>
        <w:spacing w:after="0" w:line="240" w:lineRule="auto"/>
      </w:pPr>
      <w:r>
        <w:separator/>
      </w:r>
    </w:p>
  </w:endnote>
  <w:endnote w:type="continuationSeparator" w:id="0">
    <w:p w14:paraId="1E3163C9" w14:textId="77777777" w:rsidR="00AC0963" w:rsidRDefault="00AC096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33FA101F"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C6311">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C6311">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6919" w14:textId="77777777" w:rsidR="00AC0963" w:rsidRDefault="00AC0963" w:rsidP="00534F7F">
      <w:pPr>
        <w:spacing w:after="0" w:line="240" w:lineRule="auto"/>
      </w:pPr>
      <w:r>
        <w:separator/>
      </w:r>
    </w:p>
  </w:footnote>
  <w:footnote w:type="continuationSeparator" w:id="0">
    <w:p w14:paraId="2AC003F9" w14:textId="77777777" w:rsidR="00AC0963" w:rsidRDefault="00AC096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512D4D41" w:rsidR="00760E46" w:rsidRPr="0099459A" w:rsidRDefault="00760E46" w:rsidP="006141BF">
          <w:pPr>
            <w:pStyle w:val="stBilgi"/>
            <w:jc w:val="center"/>
            <w:rPr>
              <w:rFonts w:ascii="Cambria" w:hAnsi="Cambria"/>
              <w:b/>
              <w:color w:val="002060"/>
            </w:rPr>
          </w:pPr>
          <w:r>
            <w:rPr>
              <w:rFonts w:ascii="Cambria" w:hAnsi="Cambria"/>
              <w:b/>
              <w:color w:val="002060"/>
            </w:rPr>
            <w:t xml:space="preserve">GYS KONULARI İÇERİSİNDE </w:t>
          </w:r>
          <w:r>
            <w:rPr>
              <w:rFonts w:ascii="Cambria" w:hAnsi="Cambria"/>
              <w:b/>
              <w:color w:val="C00000"/>
            </w:rPr>
            <w:t>2 AY</w:t>
          </w:r>
          <w:r w:rsidR="006141BF">
            <w:rPr>
              <w:rFonts w:ascii="Cambria" w:hAnsi="Cambria"/>
              <w:b/>
              <w:color w:val="C00000"/>
            </w:rPr>
            <w:t>/İKİ AY</w:t>
          </w:r>
          <w:r w:rsidRPr="00B403F4">
            <w:rPr>
              <w:rFonts w:ascii="Cambria" w:hAnsi="Cambria"/>
              <w:b/>
              <w:color w:val="C00000"/>
            </w:rPr>
            <w:t xml:space="preserve"> </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7E93350"/>
    <w:multiLevelType w:val="hybridMultilevel"/>
    <w:tmpl w:val="8B98B0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8061EA"/>
    <w:multiLevelType w:val="hybridMultilevel"/>
    <w:tmpl w:val="3CD87C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1"/>
  </w:num>
  <w:num w:numId="4">
    <w:abstractNumId w:val="9"/>
  </w:num>
  <w:num w:numId="5">
    <w:abstractNumId w:val="20"/>
  </w:num>
  <w:num w:numId="6">
    <w:abstractNumId w:val="7"/>
  </w:num>
  <w:num w:numId="7">
    <w:abstractNumId w:val="14"/>
  </w:num>
  <w:num w:numId="8">
    <w:abstractNumId w:val="23"/>
  </w:num>
  <w:num w:numId="9">
    <w:abstractNumId w:val="18"/>
  </w:num>
  <w:num w:numId="10">
    <w:abstractNumId w:val="5"/>
  </w:num>
  <w:num w:numId="11">
    <w:abstractNumId w:val="11"/>
  </w:num>
  <w:num w:numId="12">
    <w:abstractNumId w:val="3"/>
  </w:num>
  <w:num w:numId="13">
    <w:abstractNumId w:val="13"/>
  </w:num>
  <w:num w:numId="14">
    <w:abstractNumId w:val="2"/>
  </w:num>
  <w:num w:numId="15">
    <w:abstractNumId w:val="10"/>
  </w:num>
  <w:num w:numId="16">
    <w:abstractNumId w:val="25"/>
  </w:num>
  <w:num w:numId="17">
    <w:abstractNumId w:val="15"/>
  </w:num>
  <w:num w:numId="18">
    <w:abstractNumId w:val="0"/>
  </w:num>
  <w:num w:numId="19">
    <w:abstractNumId w:val="17"/>
  </w:num>
  <w:num w:numId="20">
    <w:abstractNumId w:val="22"/>
  </w:num>
  <w:num w:numId="21">
    <w:abstractNumId w:val="8"/>
  </w:num>
  <w:num w:numId="22">
    <w:abstractNumId w:val="6"/>
  </w:num>
  <w:num w:numId="23">
    <w:abstractNumId w:val="1"/>
  </w:num>
  <w:num w:numId="24">
    <w:abstractNumId w:val="16"/>
  </w:num>
  <w:num w:numId="25">
    <w:abstractNumId w:val="24"/>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A76CB"/>
    <w:rsid w:val="000B252C"/>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464E9"/>
    <w:rsid w:val="00157128"/>
    <w:rsid w:val="00164950"/>
    <w:rsid w:val="001802AB"/>
    <w:rsid w:val="0018517F"/>
    <w:rsid w:val="001919AC"/>
    <w:rsid w:val="001C5159"/>
    <w:rsid w:val="001D0C46"/>
    <w:rsid w:val="001E43BD"/>
    <w:rsid w:val="001F16FF"/>
    <w:rsid w:val="0020508C"/>
    <w:rsid w:val="00205643"/>
    <w:rsid w:val="00216C37"/>
    <w:rsid w:val="0022640A"/>
    <w:rsid w:val="002335DB"/>
    <w:rsid w:val="00241516"/>
    <w:rsid w:val="00244B8F"/>
    <w:rsid w:val="0025424C"/>
    <w:rsid w:val="00271BDB"/>
    <w:rsid w:val="00272BBF"/>
    <w:rsid w:val="00283B8F"/>
    <w:rsid w:val="002A552D"/>
    <w:rsid w:val="002A7BA6"/>
    <w:rsid w:val="002C4415"/>
    <w:rsid w:val="002C693E"/>
    <w:rsid w:val="002F0FD6"/>
    <w:rsid w:val="002F1EFC"/>
    <w:rsid w:val="002F3262"/>
    <w:rsid w:val="002F7535"/>
    <w:rsid w:val="003039F2"/>
    <w:rsid w:val="00305D03"/>
    <w:rsid w:val="003230A8"/>
    <w:rsid w:val="00324804"/>
    <w:rsid w:val="00343DA4"/>
    <w:rsid w:val="003544D1"/>
    <w:rsid w:val="003548DA"/>
    <w:rsid w:val="00354D8E"/>
    <w:rsid w:val="00366CE4"/>
    <w:rsid w:val="00367DA4"/>
    <w:rsid w:val="003742F5"/>
    <w:rsid w:val="00385009"/>
    <w:rsid w:val="00386B9D"/>
    <w:rsid w:val="003A2158"/>
    <w:rsid w:val="003A7092"/>
    <w:rsid w:val="003C0363"/>
    <w:rsid w:val="003C0F72"/>
    <w:rsid w:val="003C6311"/>
    <w:rsid w:val="003D6E95"/>
    <w:rsid w:val="003D6F7D"/>
    <w:rsid w:val="003D72D5"/>
    <w:rsid w:val="003F1BDC"/>
    <w:rsid w:val="003F3DD2"/>
    <w:rsid w:val="003F7DD3"/>
    <w:rsid w:val="00401661"/>
    <w:rsid w:val="00404DD1"/>
    <w:rsid w:val="00406E3A"/>
    <w:rsid w:val="0040733D"/>
    <w:rsid w:val="00410221"/>
    <w:rsid w:val="00411D12"/>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141BF"/>
    <w:rsid w:val="006340F8"/>
    <w:rsid w:val="00634A2E"/>
    <w:rsid w:val="00634E90"/>
    <w:rsid w:val="006450D7"/>
    <w:rsid w:val="0064705C"/>
    <w:rsid w:val="00662375"/>
    <w:rsid w:val="006647DE"/>
    <w:rsid w:val="00680408"/>
    <w:rsid w:val="00681CF7"/>
    <w:rsid w:val="00685A05"/>
    <w:rsid w:val="00687512"/>
    <w:rsid w:val="006A49A2"/>
    <w:rsid w:val="006B1612"/>
    <w:rsid w:val="006B361B"/>
    <w:rsid w:val="006B7C08"/>
    <w:rsid w:val="006D010E"/>
    <w:rsid w:val="006D17FF"/>
    <w:rsid w:val="006D3E30"/>
    <w:rsid w:val="006F4323"/>
    <w:rsid w:val="007004B9"/>
    <w:rsid w:val="007017A8"/>
    <w:rsid w:val="00711CE9"/>
    <w:rsid w:val="00711E85"/>
    <w:rsid w:val="007137DA"/>
    <w:rsid w:val="00713C08"/>
    <w:rsid w:val="007169A4"/>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B17AF"/>
    <w:rsid w:val="007B651E"/>
    <w:rsid w:val="007C544E"/>
    <w:rsid w:val="007C7711"/>
    <w:rsid w:val="007D3B4A"/>
    <w:rsid w:val="007F5627"/>
    <w:rsid w:val="007F6D20"/>
    <w:rsid w:val="00810524"/>
    <w:rsid w:val="008144C0"/>
    <w:rsid w:val="008302E9"/>
    <w:rsid w:val="00835F73"/>
    <w:rsid w:val="00846AD8"/>
    <w:rsid w:val="0085403F"/>
    <w:rsid w:val="00855045"/>
    <w:rsid w:val="00857BA4"/>
    <w:rsid w:val="0087039C"/>
    <w:rsid w:val="008856BB"/>
    <w:rsid w:val="00886126"/>
    <w:rsid w:val="008949DF"/>
    <w:rsid w:val="008A398A"/>
    <w:rsid w:val="008A5D4F"/>
    <w:rsid w:val="008B0D27"/>
    <w:rsid w:val="008C370D"/>
    <w:rsid w:val="008C5DE2"/>
    <w:rsid w:val="008D3350"/>
    <w:rsid w:val="008F15A2"/>
    <w:rsid w:val="008F3C18"/>
    <w:rsid w:val="00900183"/>
    <w:rsid w:val="0090478C"/>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4454"/>
    <w:rsid w:val="00A44D03"/>
    <w:rsid w:val="00A513AD"/>
    <w:rsid w:val="00A5214F"/>
    <w:rsid w:val="00A74875"/>
    <w:rsid w:val="00A9520D"/>
    <w:rsid w:val="00AC0963"/>
    <w:rsid w:val="00AC44E2"/>
    <w:rsid w:val="00AC5A9B"/>
    <w:rsid w:val="00AC7352"/>
    <w:rsid w:val="00AC7F75"/>
    <w:rsid w:val="00AF29E2"/>
    <w:rsid w:val="00B03034"/>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65A00"/>
    <w:rsid w:val="00C65D86"/>
    <w:rsid w:val="00C817FD"/>
    <w:rsid w:val="00CA174C"/>
    <w:rsid w:val="00CB3A35"/>
    <w:rsid w:val="00CC07B2"/>
    <w:rsid w:val="00CC3E17"/>
    <w:rsid w:val="00CD0F1E"/>
    <w:rsid w:val="00CD4A9F"/>
    <w:rsid w:val="00CE2049"/>
    <w:rsid w:val="00CE4130"/>
    <w:rsid w:val="00CF5DBC"/>
    <w:rsid w:val="00D00CA5"/>
    <w:rsid w:val="00D04D2D"/>
    <w:rsid w:val="00D10A8C"/>
    <w:rsid w:val="00D12596"/>
    <w:rsid w:val="00D17EED"/>
    <w:rsid w:val="00D26431"/>
    <w:rsid w:val="00D278C6"/>
    <w:rsid w:val="00D34AA2"/>
    <w:rsid w:val="00D42DDB"/>
    <w:rsid w:val="00D66B5F"/>
    <w:rsid w:val="00D76151"/>
    <w:rsid w:val="00D859BC"/>
    <w:rsid w:val="00D9217B"/>
    <w:rsid w:val="00DA0731"/>
    <w:rsid w:val="00DB3905"/>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60EBE"/>
    <w:rsid w:val="00E72458"/>
    <w:rsid w:val="00E75914"/>
    <w:rsid w:val="00E877EA"/>
    <w:rsid w:val="00E95E3F"/>
    <w:rsid w:val="00EA1ACE"/>
    <w:rsid w:val="00EB384A"/>
    <w:rsid w:val="00EB72A7"/>
    <w:rsid w:val="00ED08FB"/>
    <w:rsid w:val="00ED32E1"/>
    <w:rsid w:val="00EE5DB5"/>
    <w:rsid w:val="00F04AD2"/>
    <w:rsid w:val="00F06B31"/>
    <w:rsid w:val="00F103AC"/>
    <w:rsid w:val="00F110A4"/>
    <w:rsid w:val="00F36B09"/>
    <w:rsid w:val="00F42129"/>
    <w:rsid w:val="00F478AB"/>
    <w:rsid w:val="00F76DE0"/>
    <w:rsid w:val="00F8087F"/>
    <w:rsid w:val="00F958F7"/>
    <w:rsid w:val="00FA1B3F"/>
    <w:rsid w:val="00FA517D"/>
    <w:rsid w:val="00FB0D2A"/>
    <w:rsid w:val="00FB7071"/>
    <w:rsid w:val="00FC2123"/>
    <w:rsid w:val="00FC386D"/>
    <w:rsid w:val="00FC5166"/>
    <w:rsid w:val="00FD4373"/>
    <w:rsid w:val="00FE1F5F"/>
    <w:rsid w:val="00FE2ECF"/>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5010-BA26-43FD-B671-1D60ACD68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5</Pages>
  <Words>1268</Words>
  <Characters>7228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62</cp:revision>
  <cp:lastPrinted>2024-02-07T07:57:00Z</cp:lastPrinted>
  <dcterms:created xsi:type="dcterms:W3CDTF">2024-07-09T09:29:00Z</dcterms:created>
  <dcterms:modified xsi:type="dcterms:W3CDTF">2024-07-18T10:01:00Z</dcterms:modified>
</cp:coreProperties>
</file>