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952BC7" w:rsidP="00FF4E0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Dekanlık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952BC7" w:rsidP="00DD12B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FF4E0C">
              <w:rPr>
                <w:rFonts w:ascii="Cambria" w:hAnsi="Cambria"/>
              </w:rPr>
              <w:t xml:space="preserve"> Yardımcısı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B24AEE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5641FD" w:rsidP="001F457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Yardımcısı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2270D8" w:rsidRDefault="007A3EE6" w:rsidP="002270D8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F</w:t>
            </w:r>
            <w:r w:rsidR="002270D8" w:rsidRPr="00E90DFF">
              <w:rPr>
                <w:rFonts w:ascii="Cambria" w:hAnsi="Cambria"/>
              </w:rPr>
              <w:t>akültenin vizyonu, misyonu doğrultusunda eğitim ve öğretimi gerçekleştirmek için çalışmaları yapmak, planlamak, yönlendirme</w:t>
            </w:r>
            <w:r w:rsidR="002270D8">
              <w:rPr>
                <w:rFonts w:ascii="Cambria" w:hAnsi="Cambria"/>
              </w:rPr>
              <w:t>k, koordine etmek ve denetlemeler hususunda Dekana yardımcı olmak, yokluğunda yerine vekâlet etmek.</w:t>
            </w:r>
          </w:p>
          <w:p w:rsidR="00207A80" w:rsidRPr="0012131F" w:rsidRDefault="00E90DFF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  <w:gridCol w:w="6"/>
      </w:tblGrid>
      <w:tr w:rsidR="00714096" w:rsidRPr="0012131F" w:rsidTr="0031037F">
        <w:tc>
          <w:tcPr>
            <w:tcW w:w="9634" w:type="dxa"/>
            <w:gridSpan w:val="3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31037F">
        <w:tc>
          <w:tcPr>
            <w:tcW w:w="9634" w:type="dxa"/>
            <w:gridSpan w:val="3"/>
            <w:shd w:val="clear" w:color="auto" w:fill="FFFFFF" w:themeFill="background1"/>
          </w:tcPr>
          <w:p w:rsidR="00146827" w:rsidRDefault="00146827" w:rsidP="00146827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 değerlendirme ve kalite geliştirme çalışmalarını yürütür.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Değerlendirme ve kalite geliştirme çalışmaları için standartların belirlenmesini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Değerlendirme ve kalite geliştirme çalışmaları için kurulların oluşturulmasını ve çalışmalarını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Değerlendirme ve kalite geliştirme çalışmalarının yıllık raporlarını hazırlar ve Dekanlığa sunar.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Fakültede yürütülen programların çıktı yeterliliklerinin belirlenmesini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Fakültenin öz değerlendirme raporunu hazırlar.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Fakültenin stratejik planını hazırlar.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Belirlenen standartların kalitesinin geliştirilmesini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Fakültemizdeki programların akredite edilmesi için gerekli çalışmaları yapar.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Fakültemizdeki programların akredite edilmesi için gelen Akreditasyon ziyaret ekibinin programını hazırlar ve yürütür.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Öğretim elemanlarına “Öğretim Süreci Değerlendirme Anketlerinin” uygulanmasını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Öğrencilerin Fakülteyi değerlendirme anketlerini hazırlar ve uygulanmasını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Eğitim-öğretim ve araştırmalarla ilgili politikalar ve stratejiler geliştirir.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Öğrenci konseyi ve temsilciliği için gerekli olan seçimleri yapar.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Dilek ve öneri kutularının düzenli olarak açılmasını ve değerlendirmesini yapar.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Her eğitim-öğretim yılı sonunda yapılacak olan Akademik Genel Kurul sunularını hazırlar.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Fakültede öğretim üyeleri tarafından yürütülen projeleri takip eder.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 kütüphanesinin zenginleştirilmesini ve düzenli bir biçimde hizmet sunmasını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Fakültemizdeki özel yetenek sınavlarının yapılmasını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Fakültemizde yapılacak olan özel yetenek sınavlarının kılavuzlarının hazırlanmasını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Fakültemizde yapılacak olan özel yetenek sınavları için bilgisayar programlarının yapılmasını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Özel yetenek sınav jüri üyelerinin programını hazırlar ve yürütür.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Derslik kapı programları ile öğretim elemanı kapı programlarının hazırlanmasını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Öğretim elemanlarının derslerini düzenli olarak yapmalarını sağlar.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Ders ücret formlarının düzenlenmesini sağlar ve kontrol eder.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Dekan olmadığı zamanlarda Dekanlığa vekâlet eder.</w:t>
            </w:r>
          </w:p>
          <w:p w:rsidR="0031037F" w:rsidRPr="00614C14" w:rsidRDefault="0031037F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31037F" w:rsidRDefault="0031037F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754174" w:rsidRPr="002C05F1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Dekan</w:t>
            </w:r>
            <w:r>
              <w:rPr>
                <w:rFonts w:ascii="Cambria" w:hAnsi="Cambria"/>
              </w:rPr>
              <w:t xml:space="preserve"> Yardımcısı</w:t>
            </w:r>
            <w:r w:rsidRPr="00853CB0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>
              <w:rPr>
                <w:rFonts w:ascii="Cambria" w:hAnsi="Cambria"/>
              </w:rPr>
              <w:t>Dekana</w:t>
            </w:r>
            <w:r w:rsidRPr="00853CB0">
              <w:rPr>
                <w:rFonts w:ascii="Cambria" w:hAnsi="Cambria"/>
              </w:rPr>
              <w:t xml:space="preserve"> karşı sorumludur. </w:t>
            </w:r>
          </w:p>
        </w:tc>
      </w:tr>
      <w:tr w:rsidR="00033FAA" w:rsidRPr="0012131F" w:rsidTr="0031037F">
        <w:trPr>
          <w:gridAfter w:val="1"/>
          <w:wAfter w:w="6" w:type="dxa"/>
        </w:trPr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lastRenderedPageBreak/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31037F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31037F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D371E" w:rsidRDefault="001D371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46" w:rsidRDefault="00B35746" w:rsidP="00534F7F">
      <w:r>
        <w:separator/>
      </w:r>
    </w:p>
  </w:endnote>
  <w:endnote w:type="continuationSeparator" w:id="0">
    <w:p w:rsidR="00B35746" w:rsidRDefault="00B35746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44" w:rsidRDefault="00DA0C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146E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146E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44" w:rsidRDefault="00DA0C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46" w:rsidRDefault="00B35746" w:rsidP="00534F7F">
      <w:r>
        <w:separator/>
      </w:r>
    </w:p>
  </w:footnote>
  <w:footnote w:type="continuationSeparator" w:id="0">
    <w:p w:rsidR="00B35746" w:rsidRDefault="00B35746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44" w:rsidRDefault="00DA0C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3373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840467"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FF4E0C">
            <w:rPr>
              <w:rFonts w:ascii="Cambria" w:hAnsi="Cambria"/>
              <w:color w:val="002060"/>
              <w:sz w:val="16"/>
              <w:szCs w:val="16"/>
            </w:rPr>
            <w:t>9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B146E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44" w:rsidRDefault="00DA0C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7A8175DD"/>
    <w:multiLevelType w:val="hybridMultilevel"/>
    <w:tmpl w:val="D16CC68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15"/>
  </w:num>
  <w:num w:numId="8">
    <w:abstractNumId w:val="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3"/>
  </w:num>
  <w:num w:numId="16">
    <w:abstractNumId w:val="8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650D3"/>
    <w:rsid w:val="000C04CC"/>
    <w:rsid w:val="00104233"/>
    <w:rsid w:val="0012131F"/>
    <w:rsid w:val="0013037B"/>
    <w:rsid w:val="00146827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C385C"/>
    <w:rsid w:val="001D281B"/>
    <w:rsid w:val="001D371E"/>
    <w:rsid w:val="001E4576"/>
    <w:rsid w:val="001F457B"/>
    <w:rsid w:val="001F6791"/>
    <w:rsid w:val="00207A80"/>
    <w:rsid w:val="002270D8"/>
    <w:rsid w:val="0023302F"/>
    <w:rsid w:val="00236E1E"/>
    <w:rsid w:val="0026786F"/>
    <w:rsid w:val="0027292B"/>
    <w:rsid w:val="00274CBA"/>
    <w:rsid w:val="0029374A"/>
    <w:rsid w:val="00296852"/>
    <w:rsid w:val="002B2944"/>
    <w:rsid w:val="002B3AA0"/>
    <w:rsid w:val="002B4786"/>
    <w:rsid w:val="002C05F1"/>
    <w:rsid w:val="002C0A2B"/>
    <w:rsid w:val="002E7330"/>
    <w:rsid w:val="00304EAB"/>
    <w:rsid w:val="0031037F"/>
    <w:rsid w:val="0032238E"/>
    <w:rsid w:val="003230A8"/>
    <w:rsid w:val="003303FE"/>
    <w:rsid w:val="0033736D"/>
    <w:rsid w:val="00341062"/>
    <w:rsid w:val="003617EF"/>
    <w:rsid w:val="00393BCE"/>
    <w:rsid w:val="003A1F30"/>
    <w:rsid w:val="003C2817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6EB8"/>
    <w:rsid w:val="004F27F3"/>
    <w:rsid w:val="005332AB"/>
    <w:rsid w:val="00534F7F"/>
    <w:rsid w:val="00537423"/>
    <w:rsid w:val="00544A37"/>
    <w:rsid w:val="00551B24"/>
    <w:rsid w:val="0055738B"/>
    <w:rsid w:val="005641FD"/>
    <w:rsid w:val="00564EDC"/>
    <w:rsid w:val="00565BFA"/>
    <w:rsid w:val="00586A9C"/>
    <w:rsid w:val="005B03FF"/>
    <w:rsid w:val="005B3B02"/>
    <w:rsid w:val="005B5AD0"/>
    <w:rsid w:val="005B6D4E"/>
    <w:rsid w:val="006040B2"/>
    <w:rsid w:val="006068F4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47DFA"/>
    <w:rsid w:val="00651747"/>
    <w:rsid w:val="00682605"/>
    <w:rsid w:val="00682A32"/>
    <w:rsid w:val="006C40E1"/>
    <w:rsid w:val="006C7D11"/>
    <w:rsid w:val="006D3B1F"/>
    <w:rsid w:val="006D6E8B"/>
    <w:rsid w:val="006E6192"/>
    <w:rsid w:val="0070372C"/>
    <w:rsid w:val="00706420"/>
    <w:rsid w:val="00710630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62EA3"/>
    <w:rsid w:val="00775EA7"/>
    <w:rsid w:val="00775F29"/>
    <w:rsid w:val="00776087"/>
    <w:rsid w:val="0079374A"/>
    <w:rsid w:val="007A3EE6"/>
    <w:rsid w:val="007A7DBB"/>
    <w:rsid w:val="007B0CFD"/>
    <w:rsid w:val="007D1C4E"/>
    <w:rsid w:val="007D4382"/>
    <w:rsid w:val="007D55FA"/>
    <w:rsid w:val="007E210F"/>
    <w:rsid w:val="00803617"/>
    <w:rsid w:val="00805579"/>
    <w:rsid w:val="00810A48"/>
    <w:rsid w:val="00830A95"/>
    <w:rsid w:val="00840467"/>
    <w:rsid w:val="0086003A"/>
    <w:rsid w:val="008853A8"/>
    <w:rsid w:val="008C4974"/>
    <w:rsid w:val="008C6E2F"/>
    <w:rsid w:val="008D371C"/>
    <w:rsid w:val="008D57AB"/>
    <w:rsid w:val="008E478D"/>
    <w:rsid w:val="008E591A"/>
    <w:rsid w:val="008E7722"/>
    <w:rsid w:val="0093327A"/>
    <w:rsid w:val="0094289F"/>
    <w:rsid w:val="00947419"/>
    <w:rsid w:val="00952BC7"/>
    <w:rsid w:val="00966126"/>
    <w:rsid w:val="0096625E"/>
    <w:rsid w:val="00966A44"/>
    <w:rsid w:val="009B6181"/>
    <w:rsid w:val="009C1368"/>
    <w:rsid w:val="009E07BF"/>
    <w:rsid w:val="00A125A4"/>
    <w:rsid w:val="00A17E50"/>
    <w:rsid w:val="00A22546"/>
    <w:rsid w:val="00A22889"/>
    <w:rsid w:val="00A23674"/>
    <w:rsid w:val="00A354CE"/>
    <w:rsid w:val="00A45E0C"/>
    <w:rsid w:val="00A54008"/>
    <w:rsid w:val="00A75555"/>
    <w:rsid w:val="00A83390"/>
    <w:rsid w:val="00A97B30"/>
    <w:rsid w:val="00AA5BEE"/>
    <w:rsid w:val="00AC58EE"/>
    <w:rsid w:val="00AE4216"/>
    <w:rsid w:val="00B06EC8"/>
    <w:rsid w:val="00B146E9"/>
    <w:rsid w:val="00B23E4A"/>
    <w:rsid w:val="00B24AEE"/>
    <w:rsid w:val="00B35746"/>
    <w:rsid w:val="00B35F09"/>
    <w:rsid w:val="00B6421D"/>
    <w:rsid w:val="00B81B21"/>
    <w:rsid w:val="00B834F2"/>
    <w:rsid w:val="00B912E6"/>
    <w:rsid w:val="00B936DF"/>
    <w:rsid w:val="00B94075"/>
    <w:rsid w:val="00BB1E65"/>
    <w:rsid w:val="00BB3754"/>
    <w:rsid w:val="00BB7297"/>
    <w:rsid w:val="00BC7571"/>
    <w:rsid w:val="00BC7F23"/>
    <w:rsid w:val="00BF54D2"/>
    <w:rsid w:val="00C04787"/>
    <w:rsid w:val="00C305C2"/>
    <w:rsid w:val="00C32325"/>
    <w:rsid w:val="00C34C44"/>
    <w:rsid w:val="00C35406"/>
    <w:rsid w:val="00C47689"/>
    <w:rsid w:val="00C53C77"/>
    <w:rsid w:val="00CB6A3F"/>
    <w:rsid w:val="00CD1909"/>
    <w:rsid w:val="00D1112B"/>
    <w:rsid w:val="00D23714"/>
    <w:rsid w:val="00D3465A"/>
    <w:rsid w:val="00D34F0E"/>
    <w:rsid w:val="00D35A4A"/>
    <w:rsid w:val="00D61027"/>
    <w:rsid w:val="00D65310"/>
    <w:rsid w:val="00D675A4"/>
    <w:rsid w:val="00D83CD5"/>
    <w:rsid w:val="00DA0C44"/>
    <w:rsid w:val="00DB2E18"/>
    <w:rsid w:val="00DD12B3"/>
    <w:rsid w:val="00DD308E"/>
    <w:rsid w:val="00DD3517"/>
    <w:rsid w:val="00DD51A4"/>
    <w:rsid w:val="00DE498A"/>
    <w:rsid w:val="00DE7DA1"/>
    <w:rsid w:val="00E03E32"/>
    <w:rsid w:val="00E10203"/>
    <w:rsid w:val="00E10785"/>
    <w:rsid w:val="00E13F11"/>
    <w:rsid w:val="00E3436C"/>
    <w:rsid w:val="00E35C41"/>
    <w:rsid w:val="00E36113"/>
    <w:rsid w:val="00E44F51"/>
    <w:rsid w:val="00E522EB"/>
    <w:rsid w:val="00E57AA7"/>
    <w:rsid w:val="00E87FEE"/>
    <w:rsid w:val="00E901D8"/>
    <w:rsid w:val="00E90DFF"/>
    <w:rsid w:val="00EA2676"/>
    <w:rsid w:val="00EA6040"/>
    <w:rsid w:val="00EB6D6B"/>
    <w:rsid w:val="00EC0A1D"/>
    <w:rsid w:val="00ED61D4"/>
    <w:rsid w:val="00EE2587"/>
    <w:rsid w:val="00EE3346"/>
    <w:rsid w:val="00F06511"/>
    <w:rsid w:val="00F12E2C"/>
    <w:rsid w:val="00F139D6"/>
    <w:rsid w:val="00F220E4"/>
    <w:rsid w:val="00F33BC5"/>
    <w:rsid w:val="00F442B7"/>
    <w:rsid w:val="00F544B4"/>
    <w:rsid w:val="00F614C3"/>
    <w:rsid w:val="00F670B9"/>
    <w:rsid w:val="00FA6D95"/>
    <w:rsid w:val="00FB69AA"/>
    <w:rsid w:val="00FC06A9"/>
    <w:rsid w:val="00FC3E69"/>
    <w:rsid w:val="00FD6A9C"/>
    <w:rsid w:val="00FD6F30"/>
    <w:rsid w:val="00FF3333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215</cp:revision>
  <dcterms:created xsi:type="dcterms:W3CDTF">2019-02-15T12:25:00Z</dcterms:created>
  <dcterms:modified xsi:type="dcterms:W3CDTF">2019-04-04T06:40:00Z</dcterms:modified>
</cp:coreProperties>
</file>