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Prof. Dr. Mehmet Mustafa Aral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21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(UA Erasmus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proofErr w:type="gramStart"/>
            <w:r w:rsidR="00403C97" w:rsidRPr="00403C97">
              <w:rPr>
                <w:highlight w:val="green"/>
                <w:lang w:val="tr-TR"/>
              </w:rPr>
              <w:t>……</w:t>
            </w:r>
            <w:proofErr w:type="gramEnd"/>
            <w:r w:rsidRPr="00403C97">
              <w:rPr>
                <w:highlight w:val="green"/>
                <w:lang w:val="tr-TR"/>
              </w:rPr>
              <w:t xml:space="preserve"> (ay)  </w:t>
            </w:r>
            <w:proofErr w:type="gramStart"/>
            <w:r w:rsidR="00403C97" w:rsidRPr="00403C97">
              <w:rPr>
                <w:highlight w:val="green"/>
                <w:lang w:val="tr-TR"/>
              </w:rPr>
              <w:t>……</w:t>
            </w:r>
            <w:proofErr w:type="gramEnd"/>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605"/>
        <w:gridCol w:w="4606"/>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69"/>
        <w:gridCol w:w="3402"/>
        <w:gridCol w:w="2440"/>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0" w:name="Check1"/>
      <w:r w:rsidR="003B1D97" w:rsidRPr="003B1D97">
        <w:rPr>
          <w:lang w:val="tr-TR"/>
        </w:rPr>
        <w:instrText xml:space="preserve">FORMCHECKBOX </w:instrText>
      </w:r>
      <w:r w:rsidR="009D47FA">
        <w:rPr>
          <w:lang w:val="tr-TR"/>
        </w:rPr>
      </w:r>
      <w:r w:rsidR="009D47FA">
        <w:rPr>
          <w:lang w:val="tr-TR"/>
        </w:rPr>
        <w:fldChar w:fldCharType="separate"/>
      </w:r>
      <w:r w:rsidR="003B1D97" w:rsidRPr="003B1D97">
        <w:rPr>
          <w:lang w:val="tr-TR"/>
        </w:rPr>
        <w:fldChar w:fldCharType="end"/>
      </w:r>
      <w:bookmarkEnd w:id="0"/>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9D47FA">
        <w:rPr>
          <w:lang w:val="tr-TR"/>
        </w:rPr>
      </w:r>
      <w:r w:rsidR="009D47FA">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F71902" w:rsidRPr="00AA2450" w:rsidRDefault="00641255" w:rsidP="00AA2450">
      <w:pPr>
        <w:tabs>
          <w:tab w:val="left" w:pos="1980"/>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9D47FA">
        <w:rPr>
          <w:lang w:val="tr-TR"/>
        </w:rPr>
      </w:r>
      <w:r w:rsidR="009D47FA">
        <w:rPr>
          <w:lang w:val="tr-TR"/>
        </w:rPr>
        <w:fldChar w:fldCharType="separate"/>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AA2450">
        <w:rPr>
          <w:lang w:val="tr-TR"/>
        </w:rPr>
        <w:t xml:space="preserve">günlerine </w:t>
      </w:r>
      <w:bookmarkStart w:id="1" w:name="_GoBack"/>
      <w:bookmarkEnd w:id="1"/>
      <w:r w:rsidR="00526477" w:rsidRPr="00BD5A19">
        <w:rPr>
          <w:rFonts w:eastAsia="Wingdings"/>
          <w:lang w:val="tr-TR"/>
        </w:rPr>
        <w:t>sahiptir.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9D47FA">
        <w:rPr>
          <w:lang w:val="tr-TR"/>
        </w:rPr>
      </w:r>
      <w:r w:rsidR="009D47FA">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proofErr w:type="gramStart"/>
      <w:r w:rsidRPr="00BD5A19">
        <w:rPr>
          <w:sz w:val="24"/>
          <w:szCs w:val="24"/>
          <w:lang w:val="tr-TR"/>
        </w:rPr>
        <w:t>[</w:t>
      </w:r>
      <w:proofErr w:type="gramEnd"/>
      <w:r w:rsidR="00A21380" w:rsidRPr="00BD5A19">
        <w:rPr>
          <w:highlight w:val="cyan"/>
          <w:lang w:val="tr-TR"/>
        </w:rPr>
        <w:t>Kuru</w:t>
      </w:r>
      <w:r w:rsidR="0002754D" w:rsidRPr="00BD5A19">
        <w:rPr>
          <w:highlight w:val="cyan"/>
          <w:lang w:val="tr-TR"/>
        </w:rPr>
        <w:t>m/Kurulu</w:t>
      </w:r>
      <w:r w:rsidR="00A21380" w:rsidRPr="00BD5A19">
        <w:rPr>
          <w:highlight w:val="cyan"/>
          <w:lang w:val="tr-TR"/>
        </w:rPr>
        <w:t xml:space="preserve">ş </w:t>
      </w:r>
      <w:r w:rsidRPr="00BD5A19">
        <w:rPr>
          <w:highlight w:val="cyan"/>
          <w:lang w:val="tr-TR"/>
        </w:rPr>
        <w:t>tarafından seçilecek:</w:t>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proofErr w:type="gramStart"/>
      <w:r w:rsidR="006D0FAB" w:rsidRPr="00BD5A19">
        <w:rPr>
          <w:sz w:val="24"/>
          <w:szCs w:val="24"/>
          <w:highlight w:val="yellow"/>
          <w:lang w:val="tr-TR"/>
        </w:rPr>
        <w:t>]</w:t>
      </w:r>
      <w:proofErr w:type="gramEnd"/>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/staj/</w:t>
      </w:r>
      <w:r w:rsidR="009F784E" w:rsidRPr="00BD5A19">
        <w:rPr>
          <w:highlight w:val="yellow"/>
          <w:lang w:val="tr-TR"/>
        </w:rPr>
        <w:t xml:space="preserve">öğrenme </w:t>
      </w:r>
      <w:r w:rsidR="006D0FAB" w:rsidRPr="00BD5A19">
        <w:rPr>
          <w:highlight w:val="yellow"/>
          <w:lang w:val="tr-TR"/>
        </w:rPr>
        <w:t>ve 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/staj/</w:t>
      </w:r>
      <w:r w:rsidR="009F784E" w:rsidRPr="00BD5A19">
        <w:rPr>
          <w:highlight w:val="yellow"/>
          <w:lang w:val="tr-TR"/>
        </w:rPr>
        <w:t xml:space="preserve">öğrenme </w:t>
      </w:r>
      <w:r w:rsidRPr="00BD5A19">
        <w:rPr>
          <w:highlight w:val="yellow"/>
          <w:lang w:val="tr-TR"/>
        </w:rPr>
        <w:t>ve staj]</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Erasmus Koordinatörlüğü aracılığı ile öğrencinin birimine kurul kararı alınması için yazı yazar.  Katılımcı hareketlilik sağlarken çeşitli sebeplerle 30 </w:t>
      </w:r>
      <w:proofErr w:type="spellStart"/>
      <w:r w:rsidRPr="006D4E82">
        <w:rPr>
          <w:highlight w:val="green"/>
          <w:lang w:val="tr-TR"/>
        </w:rPr>
        <w:t>AKTS’nin</w:t>
      </w:r>
      <w:proofErr w:type="spellEnd"/>
      <w:r w:rsidRPr="006D4E82">
        <w:rPr>
          <w:highlight w:val="green"/>
          <w:lang w:val="tr-TR"/>
        </w:rPr>
        <w:t xml:space="preserve"> altında ders aldığında ya da bu kredi sayısının altında başarı sağladığında, kuruma döndükten sonra eksik kredilerini tamamlayacağını taahhüt eder. 30 </w:t>
      </w:r>
      <w:proofErr w:type="spellStart"/>
      <w:r w:rsidRPr="006D4E82">
        <w:rPr>
          <w:highlight w:val="green"/>
          <w:lang w:val="tr-TR"/>
        </w:rPr>
        <w:t>AKTS’den</w:t>
      </w:r>
      <w:proofErr w:type="spellEnd"/>
      <w:r w:rsidRPr="006D4E82">
        <w:rPr>
          <w:highlight w:val="green"/>
          <w:lang w:val="tr-TR"/>
        </w:rPr>
        <w:t xml:space="preserve">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lastRenderedPageBreak/>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w:t>
      </w:r>
      <w:proofErr w:type="gramStart"/>
      <w:r w:rsidR="004B1E40" w:rsidRPr="00BD5A19">
        <w:rPr>
          <w:lang w:val="tr-TR"/>
        </w:rPr>
        <w:t>2.3'te</w:t>
      </w:r>
      <w:proofErr w:type="gramEnd"/>
      <w:r w:rsidR="004B1E40" w:rsidRPr="00BD5A19">
        <w:rPr>
          <w:lang w:val="tr-TR"/>
        </w:rPr>
        <w:t xml:space="preserv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11763B">
        <w:rPr>
          <w:lang w:val="tr-TR"/>
        </w:rPr>
        <w:t>[</w:t>
      </w:r>
      <w:r w:rsidR="0011763B" w:rsidRPr="00F5349D">
        <w:rPr>
          <w:highlight w:val="cyan"/>
          <w:lang w:val="tr-TR"/>
        </w:rPr>
        <w:t xml:space="preserve">eğer katılımcıya seyahat desteği veriliyorsa, </w:t>
      </w:r>
      <w:r w:rsidR="003D79EB" w:rsidRPr="00F5349D">
        <w:rPr>
          <w:highlight w:val="cyan"/>
          <w:lang w:val="tr-TR"/>
        </w:rPr>
        <w:t xml:space="preserve"> </w:t>
      </w:r>
      <w:r w:rsidR="0011763B" w:rsidRPr="00F5349D">
        <w:rPr>
          <w:highlight w:val="cyan"/>
          <w:lang w:val="tr-TR"/>
        </w:rPr>
        <w:t>y</w:t>
      </w:r>
      <w:r w:rsidR="003D79EB" w:rsidRPr="00F5349D">
        <w:rPr>
          <w:highlight w:val="cyan"/>
          <w:lang w:val="tr-TR"/>
        </w:rPr>
        <w:t>üksek seyahat masraflarının</w:t>
      </w:r>
      <w:r w:rsidR="0011763B">
        <w:rPr>
          <w:lang w:val="tr-TR"/>
        </w:rPr>
        <w:t>]</w:t>
      </w:r>
      <w:r w:rsidR="003E2C80" w:rsidRPr="00BD5A19">
        <w:rPr>
          <w:lang w:val="tr-TR"/>
        </w:rPr>
        <w:t xml:space="preserve"> 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w:t>
      </w:r>
      <w:proofErr w:type="gramStart"/>
      <w:r w:rsidR="003E2C80" w:rsidRPr="00BD5A19">
        <w:rPr>
          <w:lang w:val="tr-TR"/>
        </w:rPr>
        <w:t>3.4'e</w:t>
      </w:r>
      <w:proofErr w:type="gramEnd"/>
      <w:r w:rsidR="003E2C80" w:rsidRPr="00BD5A19">
        <w:rPr>
          <w:lang w:val="tr-TR"/>
        </w:rPr>
        <w:t xml:space="preserv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[%70'iyle %100'ü arasında</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F42BB8" w:rsidRDefault="00C94566" w:rsidP="00F5349D">
      <w:pPr>
        <w:numPr>
          <w:ilvl w:val="0"/>
          <w:numId w:val="10"/>
        </w:numPr>
        <w:jc w:val="both"/>
        <w:rPr>
          <w:lang w:val="tr-TR"/>
        </w:rPr>
      </w:pPr>
      <w:proofErr w:type="gramStart"/>
      <w:r w:rsidRPr="00BD5A19">
        <w:rPr>
          <w:lang w:val="tr-TR"/>
        </w:rPr>
        <w:lastRenderedPageBreak/>
        <w:t>hareketlilik</w:t>
      </w:r>
      <w:proofErr w:type="gramEnd"/>
      <w:r w:rsidRPr="00BD5A19">
        <w:rPr>
          <w:lang w:val="tr-TR"/>
        </w:rPr>
        <w:t xml:space="preserve"> döneminin başlama tarihinde </w:t>
      </w:r>
      <w:r w:rsidRPr="00BD5A19">
        <w:rPr>
          <w:highlight w:val="cyan"/>
          <w:lang w:val="tr-TR"/>
        </w:rPr>
        <w:t>[İsteğe bağlı</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w:t>
      </w:r>
      <w:proofErr w:type="gramStart"/>
      <w:r w:rsidRPr="00BD5A19">
        <w:rPr>
          <w:lang w:val="tr-TR"/>
        </w:rPr>
        <w:t>4.1</w:t>
      </w:r>
      <w:proofErr w:type="gramEnd"/>
      <w:r w:rsidRPr="00BD5A19">
        <w:rPr>
          <w:lang w:val="tr-TR"/>
        </w:rPr>
        <w:t xml:space="preserve">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403C97">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roofErr w:type="gramStart"/>
      <w:r w:rsidRPr="00BD5A19">
        <w:rPr>
          <w:highlight w:val="cyan"/>
          <w:lang w:val="tr-TR"/>
        </w:rPr>
        <w:t>[</w:t>
      </w:r>
      <w:proofErr w:type="gramEnd"/>
      <w:r w:rsidR="00C61E98" w:rsidRPr="00BD5A19">
        <w:rPr>
          <w:highlight w:val="cyan"/>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roofErr w:type="gramStart"/>
      <w:r w:rsidR="00C61E98" w:rsidRPr="00BD5A19">
        <w:rPr>
          <w:highlight w:val="cyan"/>
          <w:lang w:val="tr-TR"/>
        </w:rPr>
        <w:t>]</w:t>
      </w:r>
      <w:proofErr w:type="gramEnd"/>
    </w:p>
    <w:p w:rsidR="0086559F" w:rsidRPr="00BD5A19" w:rsidRDefault="0086559F" w:rsidP="0086559F">
      <w:pPr>
        <w:tabs>
          <w:tab w:val="left" w:pos="1701"/>
        </w:tabs>
        <w:ind w:left="567"/>
        <w:jc w:val="both"/>
        <w:rPr>
          <w:lang w:val="tr-TR"/>
        </w:rPr>
      </w:pPr>
      <w:r w:rsidRPr="00BD5A19">
        <w:rPr>
          <w:highlight w:val="cyan"/>
          <w:lang w:val="tr-TR"/>
        </w:rPr>
        <w:t>(isteğe bağlı)</w:t>
      </w:r>
      <w:r w:rsidRPr="00BD5A19">
        <w:rPr>
          <w:lang w:val="tr-TR"/>
        </w:rPr>
        <w:t xml:space="preserve"> </w:t>
      </w:r>
      <w:r w:rsidRPr="00BD5A19">
        <w:rPr>
          <w:lang w:val="tr-TR"/>
        </w:rPr>
        <w:tab/>
      </w:r>
      <w:r w:rsidRPr="00BD5A19">
        <w:rPr>
          <w:highlight w:val="yellow"/>
          <w:lang w:val="tr-TR"/>
        </w:rPr>
        <w:t xml:space="preserve">Sigorta </w:t>
      </w:r>
      <w:proofErr w:type="spellStart"/>
      <w:r w:rsidRPr="00BD5A19">
        <w:rPr>
          <w:highlight w:val="yellow"/>
          <w:lang w:val="tr-TR"/>
        </w:rPr>
        <w:t>no</w:t>
      </w:r>
      <w:proofErr w:type="spellEnd"/>
      <w:r w:rsidRPr="00BD5A19">
        <w:rPr>
          <w:highlight w:val="yellow"/>
          <w:lang w:val="tr-TR"/>
        </w:rPr>
        <w:t xml:space="preserve">/referans:   </w:t>
      </w:r>
      <w:proofErr w:type="gramStart"/>
      <w:r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w:t>
      </w:r>
      <w:proofErr w:type="gramStart"/>
      <w:r w:rsidRPr="00BD5A19">
        <w:rPr>
          <w:i/>
          <w:lang w:val="tr-TR"/>
        </w:rPr>
        <w:t>[</w:t>
      </w:r>
      <w:proofErr w:type="gramEnd"/>
      <w:r w:rsidRPr="00BD5A19">
        <w:rPr>
          <w:i/>
          <w:lang w:val="tr-TR"/>
        </w:rPr>
        <w:t xml:space="preserve">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w:t>
      </w:r>
      <w:proofErr w:type="gramStart"/>
      <w:r w:rsidRPr="00BD5A19">
        <w:rPr>
          <w:i/>
          <w:lang w:val="tr-TR"/>
        </w:rPr>
        <w:t>spesifik</w:t>
      </w:r>
      <w:proofErr w:type="gramEnd"/>
      <w:r w:rsidRPr="00BD5A19">
        <w:rPr>
          <w:i/>
          <w:lang w:val="tr-TR"/>
        </w:rPr>
        <w:t xml:space="preserve">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roofErr w:type="gramStart"/>
      <w:r w:rsidRPr="00BD5A19">
        <w:rPr>
          <w:i/>
          <w:lang w:val="tr-TR"/>
        </w:rPr>
        <w:t>]</w:t>
      </w:r>
      <w:proofErr w:type="gramEnd"/>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BD5A19">
        <w:rPr>
          <w:lang w:val="tr-TR"/>
        </w:rPr>
        <w:t xml:space="preserve"> </w:t>
      </w:r>
      <w:r w:rsidR="001673D3" w:rsidRPr="00BD5A19">
        <w:rPr>
          <w:highlight w:val="yellow"/>
          <w:lang w:val="tr-TR"/>
        </w:rPr>
        <w:t>[</w:t>
      </w:r>
      <w:r w:rsidR="00B72816" w:rsidRPr="00BD5A19">
        <w:rPr>
          <w:highlight w:val="yellow"/>
          <w:lang w:val="tr-TR"/>
        </w:rPr>
        <w:t>/</w:t>
      </w:r>
      <w:r w:rsidR="00A67DA3" w:rsidRPr="00BD5A19">
        <w:rPr>
          <w:highlight w:val="yellow"/>
          <w:lang w:val="tr-TR"/>
        </w:rPr>
        <w:t>öğrenim</w:t>
      </w:r>
      <w:r w:rsidR="00077272" w:rsidRPr="00BD5A19">
        <w:rPr>
          <w:highlight w:val="yellow"/>
          <w:lang w:val="tr-TR"/>
        </w:rPr>
        <w:t xml:space="preserve"> için gidiyorsa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proofErr w:type="gramStart"/>
      <w:r w:rsidRPr="00BD5A19">
        <w:rPr>
          <w:lang w:val="tr-TR"/>
        </w:rPr>
        <w:t>[</w:t>
      </w:r>
      <w:proofErr w:type="gramEnd"/>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w:t>
      </w:r>
      <w:proofErr w:type="spellStart"/>
      <w:r w:rsidRPr="00BD5A19">
        <w:rPr>
          <w:i/>
          <w:lang w:val="tr-TR"/>
        </w:rPr>
        <w:t>Ulusötesi</w:t>
      </w:r>
      <w:proofErr w:type="spellEnd"/>
      <w:r w:rsidRPr="00BD5A19">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w:t>
      </w:r>
      <w:proofErr w:type="gramStart"/>
      <w:r w:rsidRPr="00BD5A19">
        <w:rPr>
          <w:lang w:val="tr-TR"/>
        </w:rPr>
        <w:t>]</w:t>
      </w:r>
      <w:proofErr w:type="gramEnd"/>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00A67DA3" w:rsidRPr="00BD5A19">
        <w:rPr>
          <w:highlight w:val="yellow"/>
          <w:lang w:val="tr-TR"/>
        </w:rPr>
        <w:t>[</w:t>
      </w:r>
      <w:r w:rsidR="00017A71" w:rsidRPr="00BD5A19">
        <w:rPr>
          <w:highlight w:val="yellow"/>
          <w:lang w:val="tr-TR"/>
        </w:rPr>
        <w:t>/</w:t>
      </w:r>
      <w:r w:rsidR="00A67DA3" w:rsidRPr="00BD5A19">
        <w:rPr>
          <w:highlight w:val="yellow"/>
          <w:lang w:val="tr-TR"/>
        </w:rPr>
        <w:t>öğrenim</w:t>
      </w:r>
      <w:r w:rsidR="00F2141D" w:rsidRPr="00BD5A19">
        <w:rPr>
          <w:highlight w:val="yellow"/>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proofErr w:type="gramStart"/>
      <w:r w:rsidRPr="00BD5A19">
        <w:rPr>
          <w:lang w:val="tr-TR"/>
        </w:rPr>
        <w:t>[</w:t>
      </w:r>
      <w:proofErr w:type="gramEnd"/>
      <w:r w:rsidRPr="00BD5A19">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BD5A19">
        <w:rPr>
          <w:i/>
          <w:lang w:val="tr-TR"/>
        </w:rPr>
        <w:t>ulusötesi</w:t>
      </w:r>
      <w:proofErr w:type="spellEnd"/>
      <w:r w:rsidRPr="00BD5A19">
        <w:rPr>
          <w:i/>
          <w:lang w:val="tr-TR"/>
        </w:rPr>
        <w:t xml:space="preserve"> stajyerlerin aynı sigorta kapsamında ne ölç</w:t>
      </w:r>
      <w:r w:rsidR="00A67DA3" w:rsidRPr="00BD5A19">
        <w:rPr>
          <w:i/>
          <w:lang w:val="tr-TR"/>
        </w:rPr>
        <w:t xml:space="preserve">üde korunacağı </w:t>
      </w:r>
      <w:proofErr w:type="spellStart"/>
      <w:r w:rsidR="00A67DA3" w:rsidRPr="00BD5A19">
        <w:rPr>
          <w:i/>
          <w:lang w:val="tr-TR"/>
        </w:rPr>
        <w:t>ulusötesi</w:t>
      </w:r>
      <w:proofErr w:type="spellEnd"/>
      <w:r w:rsidR="00A67DA3" w:rsidRPr="00BD5A19">
        <w:rPr>
          <w:i/>
          <w:lang w:val="tr-TR"/>
        </w:rPr>
        <w:t xml:space="preserve">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proofErr w:type="gramStart"/>
      <w:r w:rsidRPr="00BD5A19">
        <w:rPr>
          <w:i/>
          <w:lang w:val="tr-TR"/>
        </w:rPr>
        <w:t>]</w:t>
      </w:r>
      <w:proofErr w:type="gramEnd"/>
      <w:r w:rsidRPr="00BD5A19">
        <w:rPr>
          <w:i/>
          <w:lang w:val="tr-TR"/>
        </w:rPr>
        <w:t>.</w:t>
      </w:r>
      <w:r w:rsidRPr="00BD5A19">
        <w:rPr>
          <w:lang w:val="tr-TR"/>
        </w:rPr>
        <w:t xml:space="preserve"> </w:t>
      </w:r>
    </w:p>
    <w:p w:rsidR="00403C97" w:rsidRPr="00CF1C88" w:rsidRDefault="00403C97" w:rsidP="00403C97">
      <w:pPr>
        <w:ind w:left="567" w:hanging="567"/>
        <w:jc w:val="both"/>
        <w:rPr>
          <w:highlight w:val="green"/>
          <w:lang w:val="tr-TR"/>
        </w:rPr>
      </w:pPr>
      <w:r w:rsidRPr="00BD5A19">
        <w:rPr>
          <w:lang w:val="tr-TR"/>
        </w:rPr>
        <w:t>5.</w:t>
      </w:r>
      <w:r>
        <w:rPr>
          <w:lang w:val="tr-TR"/>
        </w:rPr>
        <w:t>5</w:t>
      </w:r>
      <w:r w:rsidRPr="00BD5A19">
        <w:rPr>
          <w:lang w:val="tr-TR"/>
        </w:rPr>
        <w:t xml:space="preserve"> </w:t>
      </w:r>
      <w:r w:rsidRPr="00BD5A19">
        <w:rPr>
          <w:lang w:val="tr-TR"/>
        </w:rPr>
        <w:tab/>
      </w:r>
      <w:r w:rsidRPr="00CF1C88">
        <w:rPr>
          <w:highlight w:val="green"/>
          <w:lang w:val="tr-TR"/>
        </w:rPr>
        <w:t xml:space="preserve">Katılımcı bu sözleşme ile Erasmus+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proofErr w:type="gramStart"/>
      <w:r w:rsidR="001E777D" w:rsidRPr="00F5349D">
        <w:rPr>
          <w:lang w:val="en-GB"/>
        </w:rPr>
        <w:t>alan</w:t>
      </w:r>
      <w:proofErr w:type="spellEnd"/>
      <w:proofErr w:type="gram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Pr="009C7D87">
        <w:rPr>
          <w:highlight w:val="cyan"/>
          <w:lang w:val="tr-TR"/>
        </w:rPr>
        <w:t>[</w:t>
      </w:r>
      <w:r w:rsidR="00C22590" w:rsidRPr="009C7D87">
        <w:rPr>
          <w:highlight w:val="cyan"/>
          <w:lang w:val="tr-TR"/>
        </w:rPr>
        <w:t xml:space="preserve">İsteğe bağlı-Sadece </w:t>
      </w:r>
      <w:r w:rsidR="007C4CA8" w:rsidRPr="009C7D87">
        <w:rPr>
          <w:highlight w:val="cyan"/>
          <w:lang w:val="tr-TR"/>
        </w:rPr>
        <w:t xml:space="preserve">Öğrenim </w:t>
      </w:r>
      <w:r w:rsidR="00C22590" w:rsidRPr="009C7D87">
        <w:rPr>
          <w:highlight w:val="cyan"/>
          <w:lang w:val="tr-TR"/>
        </w:rPr>
        <w:t>A</w:t>
      </w:r>
      <w:r w:rsidR="007C4CA8" w:rsidRPr="009C7D87">
        <w:rPr>
          <w:highlight w:val="cyan"/>
          <w:lang w:val="tr-TR"/>
        </w:rPr>
        <w:t>nlaşmasına eklenmemiş ise</w:t>
      </w:r>
      <w:r w:rsidRPr="009C7D87">
        <w:rPr>
          <w:highlight w:val="cyan"/>
          <w:lang w:val="tr-TR"/>
        </w:rPr>
        <w:t>]</w:t>
      </w:r>
      <w:r w:rsidRPr="00BD5A19">
        <w:rPr>
          <w:lang w:val="tr-TR"/>
        </w:rPr>
        <w:t xml:space="preserve"> </w:t>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r>
      <w:r w:rsidRPr="009C7D87">
        <w:rPr>
          <w:highlight w:val="cyan"/>
          <w:lang w:val="tr-TR"/>
        </w:rPr>
        <w:t>[OLS dil kursu alanlar için]</w:t>
      </w:r>
      <w:r w:rsidRPr="00BD5A19">
        <w:rPr>
          <w:lang w:val="tr-TR"/>
        </w:rPr>
        <w:t xml:space="preserve"> 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r>
      <w:r w:rsidR="00C22590" w:rsidRPr="009C7D87">
        <w:rPr>
          <w:highlight w:val="cyan"/>
          <w:lang w:val="tr-TR"/>
        </w:rPr>
        <w:t>[İsteğe bağlı-</w:t>
      </w:r>
      <w:r w:rsidR="008B6868">
        <w:rPr>
          <w:highlight w:val="cyan"/>
          <w:lang w:val="tr-TR"/>
        </w:rPr>
        <w:t>yararlanıcı kurum</w:t>
      </w:r>
      <w:r w:rsidR="00C22590" w:rsidRPr="009C7D87">
        <w:rPr>
          <w:highlight w:val="cyan"/>
          <w:lang w:val="tr-TR"/>
        </w:rPr>
        <w:t xml:space="preserve"> tarafından karar verilecek]</w:t>
      </w:r>
      <w:r w:rsidR="00C22590" w:rsidRPr="00BD5A19">
        <w:rPr>
          <w:lang w:val="tr-TR"/>
        </w:rPr>
        <w:t xml:space="preserve"> </w:t>
      </w:r>
      <w:r w:rsidRPr="00BD5A19">
        <w:rPr>
          <w:lang w:val="tr-TR"/>
        </w:rPr>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4"/>
          <w:footerReference w:type="default" r:id="rId15"/>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FA" w:rsidRDefault="009D47FA">
      <w:r>
        <w:separator/>
      </w:r>
    </w:p>
  </w:endnote>
  <w:endnote w:type="continuationSeparator" w:id="0">
    <w:p w:rsidR="009D47FA" w:rsidRDefault="009D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AA2450">
      <w:rPr>
        <w:rStyle w:val="SayfaNumaras"/>
        <w:noProof/>
        <w:szCs w:val="24"/>
      </w:rPr>
      <w:t>2</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AA2450">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FA" w:rsidRDefault="009D47FA">
      <w:r>
        <w:separator/>
      </w:r>
    </w:p>
  </w:footnote>
  <w:footnote w:type="continuationSeparator" w:id="0">
    <w:p w:rsidR="009D47FA" w:rsidRDefault="009D47FA">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w:t>
    </w:r>
    <w:proofErr w:type="spellStart"/>
    <w:r w:rsidR="00304955">
      <w:rPr>
        <w:rFonts w:ascii="Arial Narrow" w:eastAsia="Arial Narrow" w:hAnsi="Arial Narrow" w:cs="Arial Narrow"/>
        <w:sz w:val="18"/>
        <w:u w:val="single"/>
      </w:rPr>
      <w:t>Yükseköğretim</w:t>
    </w:r>
    <w:proofErr w:type="spellEnd"/>
    <w:r w:rsidR="00304955">
      <w:rPr>
        <w:rFonts w:ascii="Arial Narrow" w:eastAsia="Arial Narrow" w:hAnsi="Arial Narrow" w:cs="Arial Narrow"/>
        <w:sz w:val="18"/>
        <w:u w:val="single"/>
      </w:rPr>
      <w:t xml:space="preserve"> Program </w:t>
    </w:r>
    <w:proofErr w:type="spellStart"/>
    <w:r w:rsidR="00304955">
      <w:rPr>
        <w:rFonts w:ascii="Arial Narrow" w:eastAsia="Arial Narrow" w:hAnsi="Arial Narrow" w:cs="Arial Narrow"/>
        <w:sz w:val="18"/>
        <w:u w:val="single"/>
      </w:rPr>
      <w:t>Ülkeleri</w:t>
    </w:r>
    <w:proofErr w:type="spellEnd"/>
    <w:r w:rsidR="00304955">
      <w:rPr>
        <w:rFonts w:ascii="Arial Narrow" w:eastAsia="Arial Narrow" w:hAnsi="Arial Narrow" w:cs="Arial Narrow"/>
        <w:sz w:val="18"/>
        <w:u w:val="single"/>
      </w:rPr>
      <w:t xml:space="preserve"> - </w:t>
    </w:r>
    <w:proofErr w:type="spellStart"/>
    <w:r>
      <w:rPr>
        <w:rFonts w:ascii="Arial Narrow" w:eastAsia="Arial Narrow" w:hAnsi="Arial Narrow" w:cs="Arial Narrow"/>
        <w:sz w:val="18"/>
        <w:u w:val="single"/>
      </w:rPr>
      <w:t>Hibe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Sözleşmesi</w:t>
    </w:r>
    <w:proofErr w:type="spellEnd"/>
    <w:r>
      <w:rPr>
        <w:rFonts w:ascii="Arial Narrow" w:eastAsia="Arial Narrow" w:hAnsi="Arial Narrow" w:cs="Arial Narrow"/>
        <w:sz w:val="18"/>
        <w:u w:val="single"/>
      </w:rPr>
      <w:t xml:space="preserve">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ve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stajlar</w:t>
    </w:r>
    <w:proofErr w:type="spellEnd"/>
    <w:r>
      <w:rPr>
        <w:rFonts w:ascii="Arial Narrow" w:eastAsia="Arial Narrow" w:hAnsi="Arial Narrow" w:cs="Arial Narrow"/>
        <w:sz w:val="18"/>
        <w:u w:val="single"/>
      </w:rPr>
      <w:t xml:space="preserve"> - </w:t>
    </w:r>
    <w:r w:rsidR="0094506C" w:rsidRPr="00F5349D">
      <w:rPr>
        <w:rFonts w:ascii="Arial Narrow" w:eastAsia="Arial Narrow" w:hAnsi="Arial Narrow" w:cs="Arial Narrow"/>
        <w:b/>
        <w:sz w:val="18"/>
        <w:u w:val="single"/>
      </w:rPr>
      <w:t>2018</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FE149C" w:rsidRDefault="006D0FAB" w:rsidP="006D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2601A"/>
    <w:rsid w:val="004275EE"/>
    <w:rsid w:val="00437B52"/>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47FA"/>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A2450"/>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128D-6579-4CF0-A65A-08C070A1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3094</Words>
  <Characters>17638</Characters>
  <Application>Microsoft Office Word</Application>
  <DocSecurity>0</DocSecurity>
  <Lines>146</Lines>
  <Paragraphs>41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7</cp:revision>
  <cp:lastPrinted>2016-04-28T11:07:00Z</cp:lastPrinted>
  <dcterms:created xsi:type="dcterms:W3CDTF">2018-06-05T10:28:00Z</dcterms:created>
  <dcterms:modified xsi:type="dcterms:W3CDTF">2018-06-05T13:45:00Z</dcterms:modified>
</cp:coreProperties>
</file>