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4C02" w:rsidRDefault="00AF4C02" w:rsidP="00AF4C02">
      <w:pPr>
        <w:pStyle w:val="NormalWeb"/>
        <w:rPr>
          <w:rFonts w:ascii="Verdana" w:hAnsi="Verdana"/>
        </w:rPr>
      </w:pPr>
      <w:r>
        <w:rPr>
          <w:rFonts w:ascii="Verdana" w:hAnsi="Verdana"/>
        </w:rPr>
        <w:t>BARTIN ÜNİVERSİTESİ DÖNER SERMAYE İŞLETMESİ YÖNETMELİĞİ</w:t>
      </w:r>
      <w:r>
        <w:rPr>
          <w:rFonts w:ascii="Verdana" w:hAnsi="Verdana"/>
        </w:rPr>
        <w:br/>
        <w:t>BİRİNCİ BÖLÜM</w:t>
      </w:r>
      <w:r>
        <w:rPr>
          <w:rFonts w:ascii="Verdana" w:hAnsi="Verdana"/>
        </w:rPr>
        <w:br/>
        <w:t>Amaç, Kapsam, Dayanak ve Tanımlar</w:t>
      </w:r>
      <w:r>
        <w:rPr>
          <w:rFonts w:ascii="Verdana" w:hAnsi="Verdana"/>
        </w:rPr>
        <w:br/>
        <w:t>Amaç</w:t>
      </w:r>
      <w:r>
        <w:rPr>
          <w:rFonts w:ascii="Verdana" w:hAnsi="Verdana"/>
        </w:rPr>
        <w:br/>
        <w:t>MADDE 1 – (1) Bu Yönetmeliğin amacı, Bartın Üniversitesi Döner Sermaye İşletmesinin faaliyet alanlarına, yönetim organlarına, sermaye limitine ve işleyişine ilişkin esasları düzenlemektir.</w:t>
      </w:r>
      <w:r>
        <w:rPr>
          <w:rFonts w:ascii="Verdana" w:hAnsi="Verdana"/>
        </w:rPr>
        <w:br/>
        <w:t>Kapsam</w:t>
      </w:r>
      <w:r>
        <w:rPr>
          <w:rFonts w:ascii="Verdana" w:hAnsi="Verdana"/>
        </w:rPr>
        <w:br/>
        <w:t>MADDE 2 – (1) Bu Yönetmelik, Bartın Üniversitesi eğitim, öğretim, araştırma ve uygulama birimlerinin döner sermaye faaliyetlerine ilişkin hükümleri kapsar.</w:t>
      </w:r>
      <w:r>
        <w:rPr>
          <w:rFonts w:ascii="Verdana" w:hAnsi="Verdana"/>
        </w:rPr>
        <w:br/>
        <w:t>Dayanak</w:t>
      </w:r>
      <w:r>
        <w:rPr>
          <w:rFonts w:ascii="Verdana" w:hAnsi="Verdana"/>
        </w:rPr>
        <w:br/>
        <w:t xml:space="preserve">MADDE 3 – (1) Bu Yönetmelik, </w:t>
      </w:r>
      <w:proofErr w:type="gramStart"/>
      <w:r>
        <w:rPr>
          <w:rFonts w:ascii="Verdana" w:hAnsi="Verdana"/>
        </w:rPr>
        <w:t>4/11/1981</w:t>
      </w:r>
      <w:proofErr w:type="gramEnd"/>
      <w:r>
        <w:rPr>
          <w:rFonts w:ascii="Verdana" w:hAnsi="Verdana"/>
        </w:rPr>
        <w:t xml:space="preserve"> tarihli ve 2547 sayılı Yükseköğretim Kanununun 14 üncü ve 58 inci maddelerine dayanılarak hazırlanmıştır.</w:t>
      </w:r>
      <w:r>
        <w:rPr>
          <w:rFonts w:ascii="Verdana" w:hAnsi="Verdana"/>
        </w:rPr>
        <w:br/>
        <w:t>Tanımlar</w:t>
      </w:r>
      <w:r>
        <w:rPr>
          <w:rFonts w:ascii="Verdana" w:hAnsi="Verdana"/>
        </w:rPr>
        <w:br/>
        <w:t>MADDE 4 – (1) Bu Yönetmelikte geçen;</w:t>
      </w:r>
      <w:r>
        <w:rPr>
          <w:rFonts w:ascii="Verdana" w:hAnsi="Verdana"/>
        </w:rPr>
        <w:br/>
        <w:t>a</w:t>
      </w:r>
      <w:proofErr w:type="gramStart"/>
      <w:r>
        <w:rPr>
          <w:rFonts w:ascii="Verdana" w:hAnsi="Verdana"/>
        </w:rPr>
        <w:t>)</w:t>
      </w:r>
      <w:proofErr w:type="gramEnd"/>
      <w:r>
        <w:rPr>
          <w:rFonts w:ascii="Verdana" w:hAnsi="Verdana"/>
        </w:rPr>
        <w:t xml:space="preserve"> İşletme: Bartın Üniversitesi Döner Sermaye İşletmesini,</w:t>
      </w:r>
      <w:r>
        <w:rPr>
          <w:rFonts w:ascii="Verdana" w:hAnsi="Verdana"/>
        </w:rPr>
        <w:br/>
        <w:t>b) Rektör: Bartın Üniversitesi Rektörünü,</w:t>
      </w:r>
      <w:r>
        <w:rPr>
          <w:rFonts w:ascii="Verdana" w:hAnsi="Verdana"/>
        </w:rPr>
        <w:br/>
        <w:t>c) Üniversite: Bartın Üniversitesini,</w:t>
      </w:r>
      <w:r>
        <w:rPr>
          <w:rFonts w:ascii="Verdana" w:hAnsi="Verdana"/>
        </w:rPr>
        <w:br/>
        <w:t>ç) Yönetim Kurulu: Bartın Üniversitesi Yönetim Kurulunu</w:t>
      </w:r>
      <w:r>
        <w:rPr>
          <w:rFonts w:ascii="Verdana" w:hAnsi="Verdana"/>
        </w:rPr>
        <w:br/>
        <w:t>ifade eder.</w:t>
      </w:r>
      <w:r>
        <w:rPr>
          <w:rFonts w:ascii="Verdana" w:hAnsi="Verdana"/>
        </w:rPr>
        <w:br/>
        <w:t>İKİNCİ BÖLÜM</w:t>
      </w:r>
      <w:r>
        <w:rPr>
          <w:rFonts w:ascii="Verdana" w:hAnsi="Verdana"/>
        </w:rPr>
        <w:br/>
        <w:t>İşletmenin Faaliyet Alanları, Yönetim Organları ve İşleyişine İlişkin Esaslar</w:t>
      </w:r>
      <w:r>
        <w:rPr>
          <w:rFonts w:ascii="Verdana" w:hAnsi="Verdana"/>
        </w:rPr>
        <w:br/>
        <w:t>Faaliyet alanları</w:t>
      </w:r>
      <w:r>
        <w:rPr>
          <w:rFonts w:ascii="Verdana" w:hAnsi="Verdana"/>
        </w:rPr>
        <w:br/>
        <w:t>MADDE 5 – (1) İşletme, eğitim ve öğretim ile bunlara katkıda bulunan uygulamayı ön planda tutmak ve Üniversitenin esas faaliyetlerini aksatmamak kaydıyla aşağıdaki faaliyetlerde bulunur:</w:t>
      </w:r>
      <w:r>
        <w:rPr>
          <w:rFonts w:ascii="Verdana" w:hAnsi="Verdana"/>
        </w:rPr>
        <w:br/>
        <w:t xml:space="preserve">a) Yükseköğretim kurumları dışındaki kamu kurum ve kuruluşları ile gerçek ve tüzel kişilerce talep edilecek bilimsel görüş, proje, araştırma ve benzeri hizmetlerde bulunmak; seminer, konferans, </w:t>
      </w:r>
      <w:proofErr w:type="gramStart"/>
      <w:r>
        <w:rPr>
          <w:rFonts w:ascii="Verdana" w:hAnsi="Verdana"/>
        </w:rPr>
        <w:t>sempozyum</w:t>
      </w:r>
      <w:proofErr w:type="gramEnd"/>
      <w:r>
        <w:rPr>
          <w:rFonts w:ascii="Verdana" w:hAnsi="Verdana"/>
        </w:rPr>
        <w:t xml:space="preserve"> düzenlemek, kurslar açmak,</w:t>
      </w:r>
      <w:r>
        <w:rPr>
          <w:rFonts w:ascii="Verdana" w:hAnsi="Verdana"/>
        </w:rPr>
        <w:br/>
        <w:t>b) Plan, fizibilite çalışması, analiz, model denemeleri, bilgi işlem hizmetleri, iş değerlendirilmesi ve organizasyonu, danışmanlık, eğitim organizasyonu, bakım ve onarım yapmak, bunlara ilişkin raporlar hazırlamak,</w:t>
      </w:r>
      <w:r>
        <w:rPr>
          <w:rFonts w:ascii="Verdana" w:hAnsi="Verdana"/>
        </w:rPr>
        <w:br/>
        <w:t>c) Bilimsel sonuçların uygulanmasını sağlamak,</w:t>
      </w:r>
      <w:r>
        <w:rPr>
          <w:rFonts w:ascii="Verdana" w:hAnsi="Verdana"/>
        </w:rPr>
        <w:br/>
        <w:t>ç) Teknik, sağlık, sosyal ve iktisadi alanlar ile kültür, sanat, çevre, tarım, orman ve veterinerlik alanlarında üretim, araştırma ve uygulamalar yapmak,</w:t>
      </w:r>
      <w:r>
        <w:rPr>
          <w:rFonts w:ascii="Verdana" w:hAnsi="Verdana"/>
        </w:rPr>
        <w:br/>
        <w:t>d) Faaliyet alanı ile ilgili her türlü basım ve yayım işleri yapmak,</w:t>
      </w:r>
      <w:r>
        <w:rPr>
          <w:rFonts w:ascii="Verdana" w:hAnsi="Verdana"/>
        </w:rPr>
        <w:br/>
        <w:t>e) Üretilen ürünler ile iş ve hizmetleri değerlendirmek, bunları doğrudan Rektörün veya görevlendireceği bir komisyonun izni alınmak şartıyla pazarlamak ve satmak.</w:t>
      </w:r>
      <w:r>
        <w:rPr>
          <w:rFonts w:ascii="Verdana" w:hAnsi="Verdana"/>
        </w:rPr>
        <w:br/>
        <w:t>Yönetim organları</w:t>
      </w:r>
      <w:r>
        <w:rPr>
          <w:rFonts w:ascii="Verdana" w:hAnsi="Verdana"/>
        </w:rPr>
        <w:br/>
        <w:t>MADDE 6 – (1) İşletmenin yönetim organı olan Yönetim Kurulu, Üniversite Yönetim Kuruludur.</w:t>
      </w:r>
      <w:r>
        <w:rPr>
          <w:rFonts w:ascii="Verdana" w:hAnsi="Verdana"/>
        </w:rPr>
        <w:br/>
        <w:t xml:space="preserve">(2) Üniversite Yönetim Kurulu; İşletmeyi idare etmek üzere Yürütme </w:t>
      </w:r>
      <w:r>
        <w:rPr>
          <w:rFonts w:ascii="Verdana" w:hAnsi="Verdana"/>
        </w:rPr>
        <w:lastRenderedPageBreak/>
        <w:t>Kurulu oluşturabilir ve yetkilerini uygun gördüğü ölçüde Yürütme Kuruluna devredebilir. Yürütme Kurulu, Üniversite Yönetim Kurulu tarafından seçilecek bir rektör yardımcısı ile dekanlar, yüksekokul müdürleri ve diğer öğretim üyeleri arasından seçilecek üç kişi ve bir muhasebe yetkilisi olmak üzere toplam beş kişiden oluşur.</w:t>
      </w:r>
      <w:r>
        <w:rPr>
          <w:rFonts w:ascii="Verdana" w:hAnsi="Verdana"/>
        </w:rPr>
        <w:br/>
        <w:t>Harcama yetkilisi</w:t>
      </w:r>
      <w:r>
        <w:rPr>
          <w:rFonts w:ascii="Verdana" w:hAnsi="Verdana"/>
        </w:rPr>
        <w:br/>
        <w:t>MADDE 7 – (1) İşletmenin harcama yetkilisi Rektördür. Rektör bu yetkisini uygun gördüğü ölçüde, yardımcılarına, dekanlara veya enstitü, yüksekokul, araştırma ve uygulama merkezi müdürlerine devredebilir.</w:t>
      </w:r>
      <w:r>
        <w:rPr>
          <w:rFonts w:ascii="Verdana" w:hAnsi="Verdana"/>
        </w:rPr>
        <w:br/>
        <w:t>Sermaye limiti</w:t>
      </w:r>
      <w:r>
        <w:rPr>
          <w:rFonts w:ascii="Verdana" w:hAnsi="Verdana"/>
        </w:rPr>
        <w:br/>
        <w:t>MADDE 8 – (1) İşletmenin sermaye limiti 1.000,00 (bin) TL’dir.</w:t>
      </w:r>
      <w:r>
        <w:rPr>
          <w:rFonts w:ascii="Verdana" w:hAnsi="Verdana"/>
        </w:rPr>
        <w:br/>
        <w:t>ÜÇÜNCÜ BÖLÜM</w:t>
      </w:r>
      <w:r>
        <w:rPr>
          <w:rFonts w:ascii="Verdana" w:hAnsi="Verdana"/>
        </w:rPr>
        <w:br/>
        <w:t>Çeşitli ve Son Hükümler</w:t>
      </w:r>
      <w:r>
        <w:rPr>
          <w:rFonts w:ascii="Verdana" w:hAnsi="Verdana"/>
        </w:rPr>
        <w:br/>
        <w:t>Yönetmelikte hüküm bulunmayan haller</w:t>
      </w:r>
      <w:r>
        <w:rPr>
          <w:rFonts w:ascii="Verdana" w:hAnsi="Verdana"/>
        </w:rPr>
        <w:br/>
        <w:t xml:space="preserve">MADDE 9 – (1) Bu Yönetmelikte hüküm bulunmayan hallerde; </w:t>
      </w:r>
      <w:proofErr w:type="gramStart"/>
      <w:r>
        <w:rPr>
          <w:rFonts w:ascii="Verdana" w:hAnsi="Verdana"/>
        </w:rPr>
        <w:t>5/7/1983</w:t>
      </w:r>
      <w:proofErr w:type="gramEnd"/>
      <w:r>
        <w:rPr>
          <w:rFonts w:ascii="Verdana" w:hAnsi="Verdana"/>
        </w:rPr>
        <w:t xml:space="preserve"> tarihli ve 18098 sayılı Resmî Gazete’de yayımlanan 2547 sayılı Yükseköğretim Kanununun 58 inci Maddesine Göre Döner Sermaye İşletmelerinin Kurulmasında Uyulacak Esaslara İlişkin Yönetmelik ve 1/5/2007 tarihli ve 26509 sayılı Resmî Gazete’de yayımlanan Döner Sermayeli İşletmeler Bütçe ve Muhasebe Yönetmeliği ile ilgili diğer mevzuat hükümleri uygulanır.</w:t>
      </w:r>
      <w:r>
        <w:rPr>
          <w:rFonts w:ascii="Verdana" w:hAnsi="Verdana"/>
        </w:rPr>
        <w:br/>
        <w:t>Yürürlük</w:t>
      </w:r>
      <w:r>
        <w:rPr>
          <w:rFonts w:ascii="Verdana" w:hAnsi="Verdana"/>
        </w:rPr>
        <w:br/>
        <w:t xml:space="preserve">MADDE 10 – (1) Maliye Bakanlığı ve </w:t>
      </w:r>
      <w:proofErr w:type="spellStart"/>
      <w:r>
        <w:rPr>
          <w:rFonts w:ascii="Verdana" w:hAnsi="Verdana"/>
        </w:rPr>
        <w:t>Sayıştayın</w:t>
      </w:r>
      <w:proofErr w:type="spellEnd"/>
      <w:r>
        <w:rPr>
          <w:rFonts w:ascii="Verdana" w:hAnsi="Verdana"/>
        </w:rPr>
        <w:t xml:space="preserve"> görüşleri alınan bu Yönetmelik yayımı tarihinde yürürlüğe girer.</w:t>
      </w:r>
      <w:r>
        <w:rPr>
          <w:rFonts w:ascii="Verdana" w:hAnsi="Verdana"/>
        </w:rPr>
        <w:br/>
        <w:t>Yürütme</w:t>
      </w:r>
      <w:r>
        <w:rPr>
          <w:rFonts w:ascii="Verdana" w:hAnsi="Verdana"/>
        </w:rPr>
        <w:br/>
        <w:t>MADDE 11 – (1) Bu Yönetmelik hükümlerini Bartın Üniversitesi Rektörü yürütür.</w:t>
      </w:r>
    </w:p>
    <w:p w:rsidR="007567C1" w:rsidRDefault="007567C1"/>
    <w:sectPr w:rsidR="007567C1" w:rsidSect="007567C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F4C02"/>
    <w:rsid w:val="007567C1"/>
    <w:rsid w:val="00AF4C0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67C1"/>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AF4C02"/>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1158034094">
      <w:bodyDiv w:val="1"/>
      <w:marLeft w:val="0"/>
      <w:marRight w:val="0"/>
      <w:marTop w:val="0"/>
      <w:marBottom w:val="0"/>
      <w:divBdr>
        <w:top w:val="none" w:sz="0" w:space="0" w:color="auto"/>
        <w:left w:val="none" w:sz="0" w:space="0" w:color="auto"/>
        <w:bottom w:val="none" w:sz="0" w:space="0" w:color="auto"/>
        <w:right w:val="none" w:sz="0" w:space="0" w:color="auto"/>
      </w:divBdr>
      <w:divsChild>
        <w:div w:id="11868670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529</Words>
  <Characters>3019</Characters>
  <Application>Microsoft Office Word</Application>
  <DocSecurity>0</DocSecurity>
  <Lines>25</Lines>
  <Paragraphs>7</Paragraphs>
  <ScaleCrop>false</ScaleCrop>
  <Company/>
  <LinksUpToDate>false</LinksUpToDate>
  <CharactersWithSpaces>3541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2012-04-06T11:57:00Z</dcterms:created>
  <dcterms:modified xsi:type="dcterms:W3CDTF">2012-04-06T11:57:00Z</dcterms:modified>
</cp:coreProperties>
</file>